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rPr>
          <w:iCs/>
          <w:i/>
        </w:rPr>
        <w:t xml:space="preserve">Synechococcus</w:t>
      </w:r>
      <w:r>
        <w:t xml:space="preserve">, one of the most abundant primary producers in marine ecosystems, exhibit surprising thrive in low oxygen environments, such as Oxygen Minimum Zones (OMZs) and the wide range of spectral wavebands, prevalent at depths in the world’s ocean. We found that PhycoCyanin(PC)-rich and PhycoErythrin(PE)-rich</w:t>
      </w:r>
      <w:r>
        <w:t xml:space="preserve"> </w:t>
      </w:r>
      <w:r>
        <w:rPr>
          <w:iCs/>
          <w:i/>
        </w:rPr>
        <w:t xml:space="preserve">Synechococcus</w:t>
      </w:r>
      <w:r>
        <w:t xml:space="preserve"> </w:t>
      </w:r>
      <w:r>
        <w:t xml:space="preserve">are able to grow under 2.5 µM oxygen concentration [O</w:t>
      </w:r>
      <w:r>
        <w:rPr>
          <w:vertAlign w:val="subscript"/>
        </w:rPr>
        <w:t xml:space="preserve">2</w:t>
      </w:r>
      <w:r>
        <w:t xml:space="preserve">], across the range of tested spectral wavebands from 405 – 730 nm. The PC-rich strain showed generally similar chlorophyll-specific growth rates (µ; d</w:t>
      </w:r>
      <w:r>
        <w:rPr>
          <w:vertAlign w:val="superscript"/>
        </w:rPr>
        <w:t xml:space="preserve">−1</w:t>
      </w:r>
      <w:r>
        <w:t xml:space="preserve">) under tested conditions, whereas PE-rich cultures achieved faster growth rates under 2.5 µM [O</w:t>
      </w:r>
      <w:r>
        <w:rPr>
          <w:vertAlign w:val="subscript"/>
        </w:rPr>
        <w:t xml:space="preserve">2</w:t>
      </w:r>
      <w:r>
        <w:t xml:space="preserve">] than under 250 µM [O</w:t>
      </w:r>
      <w:r>
        <w:rPr>
          <w:vertAlign w:val="subscript"/>
        </w:rPr>
        <w:t xml:space="preserve">2</w:t>
      </w:r>
      <w:r>
        <w:t xml:space="preserve">]. As expected, PC-rich strain showed a peak in growth rate under red light (620 or 660 nm). However, under 2.5 µM [O</w:t>
      </w:r>
      <w:r>
        <w:rPr>
          <w:vertAlign w:val="subscript"/>
        </w:rPr>
        <w:t xml:space="preserve">2</w:t>
      </w:r>
      <w:r>
        <w:t xml:space="preserve">] the PE-rich strain showed similar and high growth rates under 530 nm – 660 nm. Here, we also showed that the pigment content varies depending on the [O</w:t>
      </w:r>
      <w:r>
        <w:rPr>
          <w:vertAlign w:val="subscript"/>
        </w:rPr>
        <w:t xml:space="preserve">2</w:t>
      </w:r>
      <w:r>
        <w:t xml:space="preserve">] and growth wavebands. PC-rich</w:t>
      </w:r>
      <w:r>
        <w:t xml:space="preserve"> </w:t>
      </w:r>
      <w:r>
        <w:rPr>
          <w:iCs/>
          <w:i/>
        </w:rPr>
        <w:t xml:space="preserve">Synechococcus</w:t>
      </w:r>
      <w:r>
        <w:t xml:space="preserve"> </w:t>
      </w:r>
      <w:r>
        <w:t xml:space="preserve">had higher phycobiliproteins content under 250 µM [O</w:t>
      </w:r>
      <w:r>
        <w:rPr>
          <w:vertAlign w:val="subscript"/>
        </w:rPr>
        <w:t xml:space="preserve">2</w:t>
      </w:r>
      <w:r>
        <w:t xml:space="preserve">], while for PE-rich strain, the highest phycobiliproteins content was noted under 620 nm and 2.5 µM [O</w:t>
      </w:r>
      <w:r>
        <w:rPr>
          <w:vertAlign w:val="subscript"/>
        </w:rPr>
        <w:t xml:space="preserve">2</w:t>
      </w:r>
      <w:r>
        <w:t xml:space="preserve">]. For PC-rich and PE-rich</w:t>
      </w:r>
      <w:r>
        <w:t xml:space="preserve"> </w:t>
      </w:r>
      <w:r>
        <w:rPr>
          <w:iCs/>
          <w:i/>
        </w:rPr>
        <w:t xml:space="preserve">Synechococcus</w:t>
      </w:r>
      <w:r>
        <w:t xml:space="preserve">, µ showed also positive linear responses to both Phycobiliproteins:Chlorophyll</w:t>
      </w:r>
      <w:r>
        <w:t xml:space="preserve"> </w:t>
      </w:r>
      <w:r>
        <w:rPr>
          <w:iCs/>
          <w:i/>
        </w:rPr>
        <w:t xml:space="preserve">a</w:t>
      </w:r>
      <w:r>
        <w:t xml:space="preserve"> </w:t>
      </w:r>
      <w:r>
        <w:t xml:space="preserve">ratio, and cumulative diel PSII electron flux (</w:t>
      </w:r>
      <w:r>
        <w:rPr>
          <w:iCs/>
          <w:i/>
        </w:rPr>
        <w:t xml:space="preserve">JV</w:t>
      </w:r>
      <w:r>
        <w:rPr>
          <w:vertAlign w:val="subscript"/>
        </w:rPr>
        <w:t xml:space="preserve">PSII</w:t>
      </w:r>
      <w:r>
        <w:t xml:space="preserve">), although the relations vary across strain and [O</w:t>
      </w:r>
      <w:r>
        <w:rPr>
          <w:vertAlign w:val="subscript"/>
        </w:rPr>
        <w:t xml:space="preserve">2</w:t>
      </w:r>
      <w:r>
        <w:t xml:space="preserve">]. Under orange excitation at Ex</w:t>
      </w:r>
      <w:r>
        <w:rPr>
          <w:vertAlign w:val="subscript"/>
        </w:rPr>
        <w:t xml:space="preserve">590nm</w:t>
      </w:r>
      <w:r>
        <w:t xml:space="preserve">, σ</w:t>
      </w:r>
      <w:r>
        <w:rPr>
          <w:vertAlign w:val="subscript"/>
        </w:rPr>
        <w:t xml:space="preserve">PSII</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for the PC-rich strain, on the contrary, what was shown by PE-rich culture. τ</w:t>
      </w:r>
      <w:r>
        <w:rPr>
          <w:vertAlign w:val="subscript"/>
        </w:rPr>
        <w:t xml:space="preserve">PSII</w:t>
      </w:r>
      <w:r>
        <w:t xml:space="preserve">, was generally faster and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PE-rich</w:t>
      </w:r>
      <w:r>
        <w:t xml:space="preserve"> </w:t>
      </w:r>
      <w:r>
        <w:rPr>
          <w:iCs/>
          <w:i/>
        </w:rPr>
        <w:t xml:space="preserve">Synechococcus</w:t>
      </w:r>
      <w:r>
        <w:t xml:space="preserve"> </w:t>
      </w:r>
      <w:r>
        <w:t xml:space="preserve">are typically found at greater depths, and lower light, than are PC-rich strains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p>
    <w:p>
      <w:pPr>
        <w:pStyle w:val="BodyText"/>
      </w:pPr>
      <w:r>
        <w:rPr>
          <w:bCs/>
          <w:b/>
        </w:rPr>
        <w:t xml:space="preserve">Key words:</w:t>
      </w:r>
      <w:r>
        <w:t xml:space="preserve"> </w:t>
      </w:r>
      <w:r>
        <w:t xml:space="preserve">OMZs, oxygen concentration, spectral wavebands,</w:t>
      </w:r>
      <w:r>
        <w:t xml:space="preserve"> </w:t>
      </w:r>
      <w:r>
        <w:rPr>
          <w:iCs/>
          <w:i/>
        </w:rPr>
        <w:t xml:space="preserve">Synechococcus</w:t>
      </w:r>
      <w:r>
        <w:t xml:space="preserve">, PC-rich strain, PE-rich strain</w:t>
      </w:r>
    </w:p>
    <w:p>
      <w:pPr>
        <w:pStyle w:val="BodyText"/>
      </w:pPr>
    </w:p>
    <w:bookmarkEnd w:id="21"/>
    <w:bookmarkStart w:id="22" w:name="introduction"/>
    <w:p>
      <w:pPr>
        <w:pStyle w:val="Heading1"/>
      </w:pPr>
      <w:r>
        <w:t xml:space="preserve">Introduction</w:t>
      </w:r>
    </w:p>
    <w:p>
      <w:pPr>
        <w:pStyle w:val="FirstParagraph"/>
      </w:pPr>
      <w:r>
        <w:t xml:space="preserve">Since the mid-20</w:t>
      </w:r>
      <w:r>
        <w:rPr>
          <w:vertAlign w:val="superscript"/>
        </w:rPr>
        <w:t xml:space="preserve">th</w:t>
      </w:r>
      <w:r>
        <w:t xml:space="preserve"> </w:t>
      </w:r>
      <w:r>
        <w:t xml:space="preserve">century, declining oxygen concentrations in regions of the open ocean, and in coastal waters</w:t>
      </w:r>
      <w:r>
        <w:t xml:space="preserve"> </w:t>
      </w:r>
      <w:r>
        <w:t xml:space="preserve">(Breitburg et al. 2018)</w:t>
      </w:r>
      <w:r>
        <w:t xml:space="preserve"> </w:t>
      </w:r>
      <w:r>
        <w:t xml:space="preserve">are affecting productivity, biodiversity, and biogeochemical cycles in marine ecosystems</w:t>
      </w:r>
      <w:r>
        <w:t xml:space="preserve"> </w:t>
      </w:r>
      <w:r>
        <w:t xml:space="preserve">(Keeling et al. 2010)</w:t>
      </w:r>
      <w:r>
        <w:t xml:space="preserve">. Low oxygen environments in the ocean, termed Oxygen Minimum Zones (OMZ) have expanded to an area equivalent to the European Union, and the global volume of oxygen-free water has quadrupled</w:t>
      </w:r>
      <w:r>
        <w:t xml:space="preserve"> </w:t>
      </w:r>
      <w:r>
        <w:t xml:space="preserve">(Breitburg et al. 2018)</w:t>
      </w:r>
      <w:r>
        <w:t xml:space="preserve">. It is thus necessary to understand which species will survive and dominate under ongoing and predicted changes in ocean and coastal oxygen concentrations.</w:t>
      </w:r>
    </w:p>
    <w:p>
      <w:pPr>
        <w:pStyle w:val="BodyText"/>
      </w:pPr>
      <w:r>
        <w:t xml:space="preserve">Oxygenic picocyanobacteria numerically dominate the phytoplankton across vast tracts of the world’s oceans, notably in oligotrophic regions, but also in some coastal ecosystems</w:t>
      </w:r>
      <w:r>
        <w:t xml:space="preserve"> </w:t>
      </w:r>
      <w:r>
        <w:t xml:space="preserve">(Larsson et al. 2014; Śliwińska-Wilczewska et al. 2018a; Aguilera et al. 2023)</w:t>
      </w:r>
      <w:r>
        <w:t xml:space="preserve">. Oxygen is a product of photosynthesis, and a substrate for reductant consumption, but also has potential to damage Photosystem II (PSII) protein subunits</w:t>
      </w:r>
      <w:r>
        <w:t xml:space="preserve"> </w:t>
      </w:r>
      <w:r>
        <w:t xml:space="preserve">(Andersson et al. 1992)</w:t>
      </w:r>
      <w:r>
        <w:t xml:space="preserve">. The oxygen evolving complex of PSII can also be directly inactivated by a photon in the UV or blue range directly absorbed by the Mn</w:t>
      </w:r>
      <w:r>
        <w:rPr>
          <w:vertAlign w:val="subscript"/>
        </w:rPr>
        <w:t xml:space="preserve">4</w:t>
      </w:r>
      <w:r>
        <w:t xml:space="preserve">Ca cluster</w:t>
      </w:r>
      <w:r>
        <w:t xml:space="preserve"> </w:t>
      </w:r>
      <w:r>
        <w:t xml:space="preserve">(Hakala et al. 2005; Partensky et al. 2018)</w:t>
      </w:r>
      <w:r>
        <w:t xml:space="preserve">, so oxygen interacts with spectral band to influence the balance between productive photosynthesis and costly photoinactivations</w:t>
      </w:r>
      <w:r>
        <w:t xml:space="preserve"> </w:t>
      </w:r>
      <w:r>
        <w:t xml:space="preserve">(Murphy et al. 2017)</w:t>
      </w:r>
      <w:r>
        <w:t xml:space="preserve">. OMZ pose challenges for aerobic organisms</w:t>
      </w:r>
      <w:r>
        <w:t xml:space="preserve"> </w:t>
      </w:r>
      <w:r>
        <w:t xml:space="preserve">(Breitburg et al. 2018)</w:t>
      </w:r>
      <w:r>
        <w:t xml:space="preserve">, but picocyanobacteria inhabiting OMZs have genetic adaptations enabling them to tolerate and even thrive in oxygen-depleted environments, including changes in energy metabolism, antioxidant defense mechanisms, and cellular structures optimized for oxygen scavenging and storage</w:t>
      </w:r>
      <w:r>
        <w:t xml:space="preserve"> </w:t>
      </w:r>
      <w:r>
        <w:t xml:space="preserve">(Ulloa et al. 2012; Bagby and Chisholm 2015; Partensky et al. 2018; Callieri et al. 2022; Wong et al. 2023)</w:t>
      </w:r>
      <w:r>
        <w:t xml:space="preserve">.</w:t>
      </w:r>
    </w:p>
    <w:p>
      <w:pPr>
        <w:pStyle w:val="BodyText"/>
      </w:pPr>
      <w:r>
        <w:t xml:space="preserve">Picocyanobacteria also show photosynthetic adaptations to spectral wavebands, ranging from short-wavelength blue light</w:t>
      </w:r>
      <w:r>
        <w:t xml:space="preserve"> </w:t>
      </w:r>
      <w:r>
        <w:t xml:space="preserve">(Luimstra et al. 2018)</w:t>
      </w:r>
      <w:r>
        <w:t xml:space="preserve">, through green and yellow light to long-wavelength red light. Plankton ecologists have long acknowledged that a diverse array of photosynthetic pigments allows cyanobacteria species to exploit different spectral wavebands</w:t>
      </w:r>
      <w:r>
        <w:t xml:space="preserve"> </w:t>
      </w:r>
      <w:r>
        <w:t xml:space="preserve">(Falkowski et al. 2004; Stomp et al. 2007)</w:t>
      </w:r>
      <w:r>
        <w:t xml:space="preserve">. The ecological success of picoplanktonic</w:t>
      </w:r>
      <w:r>
        <w:t xml:space="preserve"> </w:t>
      </w:r>
      <w:r>
        <w:rPr>
          <w:iCs/>
          <w:i/>
        </w:rPr>
        <w:t xml:space="preserve">Synechococcus</w:t>
      </w:r>
      <w:r>
        <w:t xml:space="preserve"> </w:t>
      </w:r>
      <w:r>
        <w:t xml:space="preserve">strains throughout the photic oceanic water column</w:t>
      </w:r>
      <w:r>
        <w:t xml:space="preserve"> </w:t>
      </w:r>
      <w:r>
        <w:t xml:space="preserve">(Flombaum et al. 2013)</w:t>
      </w:r>
      <w:r>
        <w:t xml:space="preserve"> </w:t>
      </w:r>
      <w:r>
        <w:t xml:space="preserve">results in part from diverse strategies to respond to variations in their environment</w:t>
      </w:r>
      <w:r>
        <w:t xml:space="preserve"> </w:t>
      </w:r>
      <w:r>
        <w:t xml:space="preserve">(Scanlan 2012)</w:t>
      </w:r>
      <w:r>
        <w:t xml:space="preserve">. The genus</w:t>
      </w:r>
      <w:r>
        <w:t xml:space="preserve"> </w:t>
      </w:r>
      <w:r>
        <w:rPr>
          <w:iCs/>
          <w:i/>
        </w:rPr>
        <w:t xml:space="preserve">Synechococcus</w:t>
      </w:r>
      <w:r>
        <w:t xml:space="preserve"> </w:t>
      </w:r>
      <w:r>
        <w:t xml:space="preserve">is genetically diverse and divided into several major clusters. Picocyanobacteria from</w:t>
      </w:r>
      <w:r>
        <w:t xml:space="preserve"> </w:t>
      </w:r>
      <w:r>
        <w:rPr>
          <w:iCs/>
          <w:i/>
        </w:rPr>
        <w:t xml:space="preserve">Synechococcus</w:t>
      </w:r>
      <w:r>
        <w:t xml:space="preserve"> </w:t>
      </w:r>
      <w:r>
        <w:t xml:space="preserve">cluster 5, often found in marine, brackish and freshwater environments</w:t>
      </w:r>
      <w:r>
        <w:t xml:space="preserve"> </w:t>
      </w:r>
      <w:r>
        <w:t xml:space="preserve">(Aguilera et al. 2023)</w:t>
      </w:r>
      <w:r>
        <w:t xml:space="preserve">, includes sub-clusters of strains rich in phycoerythrin (PE-rich), which imparts a range of orange, reddish, pink, and purple colors, as well as sub-clusters of strains rich in phycocyanin (PC-rich), which color the organism in various shades of blue-green</w:t>
      </w:r>
      <w:r>
        <w:t xml:space="preserve"> </w:t>
      </w:r>
      <w:r>
        <w:t xml:space="preserve">(Stomp et al. 2004)</w:t>
      </w:r>
      <w:r>
        <w:t xml:space="preserve">. Competition experiments demonstrate that PE-rich and PC-rich strains can coexist in white light, but show spectral niche differentiation</w:t>
      </w:r>
      <w:r>
        <w:t xml:space="preserve"> </w:t>
      </w:r>
      <w:r>
        <w:t xml:space="preserve">(Haverkamp 2008)</w:t>
      </w:r>
      <w:r>
        <w:t xml:space="preserve">.</w:t>
      </w:r>
    </w:p>
    <w:p>
      <w:pPr>
        <w:pStyle w:val="BodyText"/>
      </w:pPr>
      <w:r>
        <w:t xml:space="preserve">PE-rich strains are typically found at greater depths, with PE-rich strains with high content of the chromophore phycourobilin (PUB) dominating in oligotrophic deeper waters where blue light predominates, with deep communities shifting towards PE-rich</w:t>
      </w:r>
      <w:r>
        <w:t xml:space="preserve"> </w:t>
      </w:r>
      <w:r>
        <w:rPr>
          <w:iCs/>
          <w:i/>
        </w:rPr>
        <w:t xml:space="preserve">Synechococcus</w:t>
      </w:r>
      <w:r>
        <w:t xml:space="preserve"> </w:t>
      </w:r>
      <w:r>
        <w:t xml:space="preserve">with more phycoerythrobilin (PEB) in more mesotrophic marine waters, characterized by blue-green light environments</w:t>
      </w:r>
      <w:r>
        <w:t xml:space="preserve"> </w:t>
      </w:r>
      <w:r>
        <w:t xml:space="preserve">(Stomp et al. 2004; Haverkamp et al. 2009)</w:t>
      </w:r>
      <w:r>
        <w:t xml:space="preserve">. Conversely, PC-rich strains prevail in nearer the surface, and in turbid waters where orange and red light dominate. The widespread coexistence of PE-rich and PC-rich picocyanobacteria is observed in waters of intermediate turbidity, such as mesotrophic lakes and coastal seas</w:t>
      </w:r>
      <w:r>
        <w:t xml:space="preserve"> </w:t>
      </w:r>
      <w:r>
        <w:t xml:space="preserve">(Haverkamp 2008; Haverkamp et al. 2009)</w:t>
      </w:r>
      <w:r>
        <w:t xml:space="preserve">.</w:t>
      </w:r>
    </w:p>
    <w:p>
      <w:pPr>
        <w:pStyle w:val="BodyText"/>
      </w:pPr>
      <w:r>
        <w:t xml:space="preserve">Our aim was to test the growth and functional responses of PC-rich and PE-rich</w:t>
      </w:r>
      <w:r>
        <w:t xml:space="preserve"> </w:t>
      </w:r>
      <w:r>
        <w:rPr>
          <w:iCs/>
          <w:i/>
        </w:rPr>
        <w:t xml:space="preserve">Synechococcus</w:t>
      </w:r>
      <w:r>
        <w:t xml:space="preserve"> </w:t>
      </w:r>
      <w:r>
        <w:t xml:space="preserve">cultures to the interaction of different oxygen concentrations (250 µM or 2.5 µM [O</w:t>
      </w:r>
      <w:r>
        <w:rPr>
          <w:vertAlign w:val="subscript"/>
        </w:rPr>
        <w:t xml:space="preserve">2</w:t>
      </w:r>
      <w:r>
        <w:t xml:space="preserve">]), and spectral wavebands from 405 – 730 nm. We thus empirically answer the question posed by</w:t>
      </w:r>
      <w:r>
        <w:t xml:space="preserve"> </w:t>
      </w:r>
      <w:r>
        <w:t xml:space="preserve">Wong et al. (2023)</w:t>
      </w:r>
      <w:r>
        <w:t xml:space="preserve"> </w:t>
      </w:r>
      <w:r>
        <w:t xml:space="preserve">regarding the sensitivity of modern picocyanobacteria to low levels of O</w:t>
      </w:r>
      <w:r>
        <w:rPr>
          <w:vertAlign w:val="subscript"/>
        </w:rPr>
        <w:t xml:space="preserve">2</w:t>
      </w:r>
      <w:r>
        <w:t xml:space="preserve"> </w:t>
      </w:r>
      <w:r>
        <w:t xml:space="preserve">and a wide range of wavebands found across depths and trophic levels.</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at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 We fit a model with three τ</w:t>
      </w:r>
      <w:r>
        <w:rPr>
          <w:vertAlign w:val="subscript"/>
        </w:rPr>
        <w:t xml:space="preserve">PSII</w:t>
      </w:r>
      <w:r>
        <w:t xml:space="preserve"> </w:t>
      </w:r>
      <w:r>
        <w:t xml:space="preserve">to describe the re-opening of PSII after closure by the saturating flash train. For subsequent analyses we estimated an average of the three τ</w:t>
      </w:r>
      <w:r>
        <w:rPr>
          <w:vertAlign w:val="subscript"/>
        </w:rPr>
        <w:t xml:space="preserve">PSII</w:t>
      </w:r>
      <w:r>
        <w:t xml:space="preserve">, weighted by their respective amplitudes, to describe the overall time to reopen PSII after closure.</w:t>
      </w:r>
    </w:p>
    <w:p>
      <w:pPr>
        <w:pStyle w:val="BodyText"/>
      </w:pPr>
      <w:r>
        <w:t xml:space="preserve">σ</w:t>
      </w:r>
      <w:r>
        <w:rPr>
          <w:vertAlign w:val="subscript"/>
        </w:rPr>
        <w:t xml:space="preserve">PSII</w:t>
      </w:r>
      <w:r>
        <w:t xml:space="preserve"> </w:t>
      </w:r>
      <w:r>
        <w:t xml:space="preserve">(Fig. S4); τ</w:t>
      </w:r>
      <w:r>
        <w:rPr>
          <w:vertAlign w:val="subscript"/>
        </w:rPr>
        <w:t xml:space="preserve">PSII</w:t>
      </w:r>
      <w:r>
        <w:t xml:space="preserve"> </w:t>
      </w:r>
      <w:r>
        <w:t xml:space="preserve">(Fig. S5); or q</w:t>
      </w:r>
      <w:r>
        <w:rPr>
          <w:vertAlign w:val="subscript"/>
        </w:rPr>
        <w:t xml:space="preserve">P</w:t>
      </w:r>
      <w:r>
        <w:t xml:space="preserve"> </w:t>
      </w:r>
      <w:r>
        <w:t xml:space="preserve">(Fig. S6) vs. Actinic PAR (µmol photons m</w:t>
      </w:r>
      <w:r>
        <w:rPr>
          <w:vertAlign w:val="superscript"/>
        </w:rPr>
        <w:t xml:space="preserve">−2</w:t>
      </w:r>
      <w:r>
        <w:t xml:space="preserve">s</w:t>
      </w:r>
      <w:r>
        <w:rPr>
          <w:vertAlign w:val="superscript"/>
        </w:rPr>
        <w:t xml:space="preserve">−1</w:t>
      </w:r>
      <w:r>
        <w:t xml:space="preserve">) under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grown at spectral bandwidths of 450, 470, 530, or 620 nm and O</w:t>
      </w:r>
      <w:r>
        <w:rPr>
          <w:vertAlign w:val="subscript"/>
        </w:rPr>
        <w:t xml:space="preserve">2</w:t>
      </w:r>
      <w:r>
        <w:t xml:space="preserve"> </w:t>
      </w:r>
      <w:r>
        <w:t xml:space="preserve">concentrations of 250 µM or 2.5 µM are shown in Supplementary materials.</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or PE-rich cultures of</w:t>
      </w:r>
      <w:r>
        <w:t xml:space="preserve"> </w:t>
      </w:r>
      <w:r>
        <w:rPr>
          <w:iCs/>
          <w:i/>
        </w:rPr>
        <w:t xml:space="preserve">Synechococcus</w:t>
      </w:r>
      <w:r>
        <w:t xml:space="preserve"> </w:t>
      </w:r>
      <w:r>
        <w:t xml:space="preserve">grown at spectral bandwidths of 450, 470, 530, or 620 nm and O</w:t>
      </w:r>
      <w:r>
        <w:rPr>
          <w:vertAlign w:val="subscript"/>
        </w:rPr>
        <w:t xml:space="preserve">2</w:t>
      </w:r>
      <w:r>
        <w:t xml:space="preserve"> </w:t>
      </w:r>
      <w:r>
        <w:t xml:space="preserve">concentrations of 250 µM or 2.5 µM are also presented (Fig. S7).</w:t>
      </w:r>
    </w:p>
    <w:p>
      <w:pPr>
        <w:pStyle w:val="BodyText"/>
      </w:pPr>
      <w:r>
        <w:t xml:space="preserve">Next, we converted</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to</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by performing Chl</w:t>
      </w:r>
      <w:r>
        <w:t xml:space="preserve"> </w:t>
      </w:r>
      <w:r>
        <w:rPr>
          <w:iCs/>
          <w:i/>
        </w:rPr>
        <w:t xml:space="preserve">a</w:t>
      </w:r>
      <w:r>
        <w:t xml:space="preserve"> </w:t>
      </w:r>
      <w:r>
        <w:t xml:space="preserve">(µg L</w:t>
      </w:r>
      <w:r>
        <w:rPr>
          <w:vertAlign w:val="superscript"/>
        </w:rPr>
        <w:t xml:space="preserve">−1</w:t>
      </w:r>
      <w:r>
        <w:t xml:space="preserve">) measurements using Trilogy Laboratory Fluorometer (Turner Designs, Inc., CA, USA) equipped with Chlorophyll In-Vivo Module, on the samples taken for the FRRf measurements.</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q</w:t>
      </w:r>
      <w:r>
        <w:rPr>
          <w:vertAlign w:val="subscript"/>
        </w:rPr>
        <w:t xml:space="preserve">P</w:t>
      </w:r>
      <w:r>
        <w:t xml:space="preserve"> </w:t>
      </w:r>
      <w:r>
        <w:t xml:space="preserve">(Tab. S8); or</w:t>
      </w:r>
      <w:r>
        <w:t xml:space="preserve"> </w:t>
      </w:r>
      <w:r>
        <w:rPr>
          <w:iCs/>
          <w:i/>
        </w:rPr>
        <w:t xml:space="preserve">JV</w:t>
      </w:r>
      <w:r>
        <w:rPr>
          <w:vertAlign w:val="subscript"/>
        </w:rPr>
        <w:t xml:space="preserve">PSII</w:t>
      </w:r>
      <w:r>
        <w:t xml:space="preserve"> </w:t>
      </w:r>
      <w:r>
        <w:t xml:space="preserve">(Tab. S9) to increasing light. We fit the light response curves of</w:t>
      </w:r>
      <w:r>
        <w:t xml:space="preserve"> </w:t>
      </w:r>
      <w:r>
        <w:rPr>
          <w:iCs/>
          <w:i/>
        </w:rPr>
        <w:t xml:space="preserve">JV</w:t>
      </w:r>
      <w:r>
        <w:rPr>
          <w:vertAlign w:val="subscript"/>
        </w:rPr>
        <w:t xml:space="preserve">PSII</w:t>
      </w:r>
      <w:r>
        <w:t xml:space="preserve"> </w:t>
      </w:r>
      <w:r>
        <w:t xml:space="preserve">with a three parameter model</w:t>
      </w:r>
      <w:r>
        <w:t xml:space="preserve"> </w:t>
      </w:r>
      <w:r>
        <w:t xml:space="preserve">(Harrison and Platt 1986)</w:t>
      </w:r>
      <w:r>
        <w:t xml:space="preserve"> </w:t>
      </w:r>
      <w:r>
        <w:t xml:space="preserve">using</w:t>
      </w:r>
      <w:r>
        <w:t xml:space="preserve"> </w:t>
      </w:r>
      <w:r>
        <w:t xml:space="preserve">(Elzhov et al. 2023)</w:t>
      </w:r>
      <w:r>
        <w:t xml:space="preserve"> </w:t>
      </w:r>
      <w:r>
        <w:t xml:space="preserve">for</w:t>
      </w:r>
      <w:r>
        <w:t xml:space="preserve"> </w:t>
      </w:r>
      <w:r>
        <w:rPr>
          <w:iCs/>
          <w:i/>
        </w:rPr>
        <w:t xml:space="preserve">nlsLM()</w:t>
      </w:r>
      <w:r>
        <w:t xml:space="preserve"> </w:t>
      </w:r>
      <w:r>
        <w:t xml:space="preserve">function.</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S10).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S11).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
    <w:p>
      <w:pPr>
        <w:pStyle w:val="Heading1"/>
      </w:pPr>
      <w:r>
        <w:t xml:space="preserve">Results</w:t>
      </w:r>
    </w:p>
    <w:bookmarkStart w:id="37" w:name="X02cdb67e1309ea7d174ca50ecfd6e11e4570936"/>
    <w:p>
      <w:pPr>
        <w:pStyle w:val="Heading2"/>
      </w:pPr>
      <w:r>
        <w:t xml:space="preserve">Chlorophyll-specific growth rates across [O</w:t>
      </w:r>
      <w:r>
        <w:rPr>
          <w:vertAlign w:val="subscript"/>
        </w:rPr>
        <w:t xml:space="preserve">2</w:t>
      </w:r>
      <w:r>
        <w:t xml:space="preserve">], spectral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Cell-specific growth rates (µ; d</w:t>
      </w:r>
      <w:r>
        <w:rPr>
          <w:vertAlign w:val="superscript"/>
        </w:rPr>
        <w:t xml:space="preserve">−1</w:t>
      </w:r>
      <w:r>
        <w:t xml:space="preserve">)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r>
        <w:t xml:space="preserve"> </w:t>
      </w:r>
      <w:r>
        <w:t xml:space="preserve">PC-rich and PE-rich</w:t>
      </w:r>
      <w:r>
        <w:t xml:space="preserve"> </w:t>
      </w:r>
      <w:r>
        <w:rPr>
          <w:iCs/>
          <w:i/>
        </w:rPr>
        <w:t xml:space="preserve">Synechococcus</w:t>
      </w:r>
      <w:r>
        <w:t xml:space="preserve"> </w:t>
      </w:r>
      <w:r>
        <w:t xml:space="preserve">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w:t>
      </w:r>
    </w:p>
    <w:p>
      <w:pPr>
        <w:pStyle w:val="BodyText"/>
      </w:pPr>
      <w:r>
        <w:t xml:space="preserve">PC-rich</w:t>
      </w:r>
      <w:r>
        <w:t xml:space="preserve"> </w:t>
      </w:r>
      <w:r>
        <w:rPr>
          <w:iCs/>
          <w:i/>
        </w:rPr>
        <w:t xml:space="preserve">Synechococcus</w:t>
      </w:r>
      <w:r>
        <w:t xml:space="preserve"> </w:t>
      </w:r>
      <w:r>
        <w:t xml:space="preserve">showed a peak in growth rate under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3ec15cd250c43c1e328ef674a9ea7ce282a66c0"/>
    <w:p>
      <w:pPr>
        <w:pStyle w:val="Heading2"/>
      </w:pPr>
      <w:r>
        <w:t xml:space="preserve">Pigment content and pigment ratio across [O</w:t>
      </w:r>
      <w:r>
        <w:rPr>
          <w:vertAlign w:val="subscript"/>
        </w:rPr>
        <w:t xml:space="preserve">2</w:t>
      </w:r>
      <w:r>
        <w:t xml:space="preserve">], spectral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grown at spectral wavebands centred at 405, 450, 470, 530, 620, 660, or 730 nm and 250 or 2.5 µM [O</w:t>
      </w:r>
      <w:r>
        <w:rPr>
          <w:vertAlign w:val="subscript"/>
        </w:rPr>
        <w:t xml:space="preserve">2</w:t>
      </w:r>
      <w:r>
        <w:t xml:space="preserve">]. To focus on the responses of growing cells, we omit pigmentation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the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 S10).</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b5d63955cf69c55df63465a7a9c7d7ae0f26978"/>
    <w:p>
      <w:pPr>
        <w:pStyle w:val="Heading2"/>
      </w:pPr>
      <w:r>
        <w:t xml:space="preserve">Effective absorption cross sections, turnover times, and photochemical quenching of PSII across [O</w:t>
      </w:r>
      <w:r>
        <w:rPr>
          <w:vertAlign w:val="subscript"/>
        </w:rPr>
        <w:t xml:space="preserve">2</w:t>
      </w:r>
      <w:r>
        <w:t xml:space="preserve">], spectral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determined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S4-S6),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 measure of excitation driving PSII photochemistry, was low and shows little change with increasing actinic light during excitation through chlorophyll at Ex</w:t>
      </w:r>
      <w:r>
        <w:rPr>
          <w:vertAlign w:val="subscript"/>
        </w:rPr>
        <w:t xml:space="preserve">445nm</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 τ</w:t>
      </w:r>
      <w:r>
        <w:rPr>
          <w:vertAlign w:val="subscript"/>
        </w:rPr>
        <w:t xml:space="preserve">PSII</w:t>
      </w:r>
      <w:r>
        <w:t xml:space="preserve">, was generally faster (smaller)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 measure of the fraction of PSII available for photochemistry, showed a strong decrease with increasing Actinic PAR across the excitation wavebands tested (Fig.</w:t>
      </w:r>
      <w:r>
        <w:t xml:space="preserve"> </w:t>
      </w:r>
      <w:r>
        <w:t xml:space="preserve">3</w:t>
      </w:r>
      <w:r>
        <w:rPr>
          <w:iCs/>
          <w:i/>
        </w:rPr>
        <w:t xml:space="preserve">c</w:t>
      </w:r>
      <w:r>
        <w:t xml:space="preserve">). q</w:t>
      </w:r>
      <w:r>
        <w:rPr>
          <w:vertAlign w:val="subscript"/>
        </w:rPr>
        <w:t xml:space="preserve">P</w:t>
      </w:r>
      <w:r>
        <w:t xml:space="preserve"> </w:t>
      </w:r>
      <w:r>
        <w:t xml:space="preserve">generally remained higher for both PC-rich and PE-rich strains under 250 µM [O</w:t>
      </w:r>
      <w:r>
        <w:rPr>
          <w:vertAlign w:val="subscript"/>
        </w:rPr>
        <w:t xml:space="preserve">2</w:t>
      </w:r>
      <w:r>
        <w:t xml:space="preserve">].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e302a55a87eb6b866e9dd77c9c4d1bc8d598a85"/>
    <w:p>
      <w:pPr>
        <w:pStyle w:val="Heading2"/>
      </w:pPr>
      <w:r>
        <w:t xml:space="preserve">PSII electron flux across [O</w:t>
      </w:r>
      <w:r>
        <w:rPr>
          <w:vertAlign w:val="subscript"/>
        </w:rPr>
        <w:t xml:space="preserve">2</w:t>
      </w:r>
      <w:r>
        <w:t xml:space="preserve">], spectral wavebands, and strains</w:t>
      </w:r>
    </w:p>
    <w:p>
      <w:pPr>
        <w:pStyle w:val="FirstParagraph"/>
      </w:pPr>
      <w:r>
        <w:t xml:space="preserve">PSII electron flux (</w:t>
      </w:r>
      <w:r>
        <w:rPr>
          <w:iCs/>
          <w:i/>
        </w:rPr>
        <w:t xml:space="preserve">JV</w:t>
      </w:r>
      <w:r>
        <w:rPr>
          <w:vertAlign w:val="subscript"/>
        </w:rPr>
        <w:t xml:space="preserve">PSII</w:t>
      </w:r>
      <w:r>
        <w:t xml:space="preserve">) measures the generation of reductant available to support biosynthetic assimilation and growth.</w:t>
      </w:r>
      <w:r>
        <w:t xml:space="preserve"> </w:t>
      </w:r>
      <w:r>
        <w:rPr>
          <w:iCs/>
          <w:i/>
        </w:rPr>
        <w:t xml:space="preserve">JV</w:t>
      </w:r>
      <w:r>
        <w:rPr>
          <w:vertAlign w:val="subscript"/>
        </w:rPr>
        <w:t xml:space="preserve">PSII</w:t>
      </w:r>
      <w:r>
        <w:t xml:space="preserve"> </w:t>
      </w:r>
      <w:r>
        <w:t xml:space="preserve">was estimated using FRRf inductions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To focus on responses of growing cells, do not present</w:t>
      </w:r>
      <w:r>
        <w:t xml:space="preserve"> </w:t>
      </w:r>
      <w:r>
        <w:rPr>
          <w:iCs/>
          <w:i/>
        </w:rPr>
        <w:t xml:space="preserve">JV</w:t>
      </w:r>
      <w:r>
        <w:rPr>
          <w:vertAlign w:val="subscript"/>
        </w:rPr>
        <w:t xml:space="preserve">PSII</w:t>
      </w:r>
      <w:r>
        <w:t xml:space="preserve"> </w:t>
      </w:r>
      <w:r>
        <w:t xml:space="preserve">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r>
        <w:t xml:space="preserve"> </w:t>
      </w:r>
      <w:r>
        <w:t xml:space="preserve">Light response curves of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are shown in Fig.</w:t>
      </w:r>
      <w:r>
        <w:t xml:space="preserve"> </w:t>
      </w:r>
      <w:r>
        <w:t xml:space="preserve">4</w:t>
      </w:r>
      <w:r>
        <w:rPr>
          <w:iCs/>
          <w:i/>
        </w:rPr>
        <w:t xml:space="preserve">a</w:t>
      </w:r>
      <w:r>
        <w:t xml:space="preserve">. For the PC-rich strain, under all tested excitations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w:t>
      </w:r>
      <w:r>
        <w:t xml:space="preserve"> </w:t>
      </w:r>
      <w:r>
        <w:rPr>
          <w:iCs/>
          <w:i/>
        </w:rPr>
        <w:t xml:space="preserve">JV</w:t>
      </w:r>
      <w:r>
        <w:rPr>
          <w:vertAlign w:val="subscript"/>
        </w:rPr>
        <w:t xml:space="preserve">PSII</w:t>
      </w:r>
      <w:r>
        <w:t xml:space="preserve"> </w:t>
      </w:r>
      <w:r>
        <w:t xml:space="preserve">increased with increasing actinic PAR, and did not fully saturate across the range of tested actinic PAR. Under all excitations except Ex</w:t>
      </w:r>
      <w:r>
        <w:rPr>
          <w:vertAlign w:val="subscript"/>
        </w:rPr>
        <w:t xml:space="preserve">590nm</w:t>
      </w:r>
      <w:r>
        <w:t xml:space="preserve"> </w:t>
      </w:r>
      <w:r>
        <w:t xml:space="preserve">we noted that</w:t>
      </w:r>
      <w:r>
        <w:t xml:space="preserve"> </w:t>
      </w:r>
      <w:r>
        <w:rPr>
          <w:iCs/>
          <w:i/>
        </w:rPr>
        <w:t xml:space="preserve">JV</w:t>
      </w:r>
      <w:r>
        <w:rPr>
          <w:vertAlign w:val="subscript"/>
        </w:rPr>
        <w:t xml:space="preserve">PSII</w:t>
      </w:r>
      <w:r>
        <w:t xml:space="preserve"> </w:t>
      </w:r>
      <w:r>
        <w:t xml:space="preserve">was higher at 2.5 µM [O</w:t>
      </w:r>
      <w:r>
        <w:rPr>
          <w:vertAlign w:val="subscript"/>
        </w:rPr>
        <w:t xml:space="preserve">2</w:t>
      </w:r>
      <w:r>
        <w:t xml:space="preserve">] compared to 250 µM [O</w:t>
      </w:r>
      <w:r>
        <w:rPr>
          <w:vertAlign w:val="subscript"/>
        </w:rPr>
        <w:t xml:space="preserve">2</w:t>
      </w:r>
      <w:r>
        <w:t xml:space="preserve">] for the PC-rich strain. On the other hand, for the PE-rich strain,</w:t>
      </w:r>
      <w:r>
        <w:t xml:space="preserve"> </w:t>
      </w:r>
      <w:r>
        <w:rPr>
          <w:iCs/>
          <w:i/>
        </w:rPr>
        <w:t xml:space="preserve">JV</w:t>
      </w:r>
      <w:r>
        <w:rPr>
          <w:vertAlign w:val="subscript"/>
        </w:rPr>
        <w:t xml:space="preserve">PSII</w:t>
      </w:r>
      <w:r>
        <w:t xml:space="preserve"> </w:t>
      </w:r>
      <w:r>
        <w:t xml:space="preserve">under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Moreover, for the PE-rich strain</w:t>
      </w:r>
      <w:r>
        <w:t xml:space="preserve"> </w:t>
      </w:r>
      <w:r>
        <w:rPr>
          <w:iCs/>
          <w:i/>
        </w:rPr>
        <w:t xml:space="preserve">JV</w:t>
      </w:r>
      <w:r>
        <w:rPr>
          <w:vertAlign w:val="subscript"/>
        </w:rPr>
        <w:t xml:space="preserve">PSII</w:t>
      </w:r>
      <w:r>
        <w:t xml:space="preserve"> </w:t>
      </w:r>
      <w:r>
        <w:t xml:space="preserve">plateaued above ~90 µmol photons m</w:t>
      </w:r>
      <w:r>
        <w:rPr>
          <w:vertAlign w:val="superscript"/>
        </w:rPr>
        <w:t xml:space="preserve">−2</w:t>
      </w:r>
      <w:r>
        <w:t xml:space="preserve">s</w:t>
      </w:r>
      <w:r>
        <w:rPr>
          <w:vertAlign w:val="superscript"/>
        </w:rPr>
        <w:t xml:space="preserve">−1</w:t>
      </w:r>
      <w:r>
        <w:t xml:space="preserve"> </w:t>
      </w:r>
      <w:r>
        <w:t xml:space="preserve">under Ex</w:t>
      </w:r>
      <w:r>
        <w:rPr>
          <w:vertAlign w:val="subscript"/>
        </w:rPr>
        <w:t xml:space="preserve">535nm</w:t>
      </w:r>
      <w:r>
        <w:t xml:space="preserve">, or Ex</w:t>
      </w:r>
      <w:r>
        <w:rPr>
          <w:vertAlign w:val="subscript"/>
        </w:rPr>
        <w:t xml:space="preserve">590nm</w:t>
      </w:r>
      <w:r>
        <w:t xml:space="preserve"> </w:t>
      </w:r>
      <w:r>
        <w:t xml:space="preserve">for both low and high [O</w:t>
      </w:r>
      <w:r>
        <w:rPr>
          <w:vertAlign w:val="subscript"/>
        </w:rPr>
        <w:t xml:space="preserve">2</w:t>
      </w:r>
      <w:r>
        <w:t xml:space="preserve">]. Strain, Actinic PAR, and [O</w:t>
      </w:r>
      <w:r>
        <w:rPr>
          <w:vertAlign w:val="subscript"/>
        </w:rPr>
        <w:t xml:space="preserve">2</w:t>
      </w:r>
      <w:r>
        <w:t xml:space="preserve">] significantly influence</w:t>
      </w:r>
      <w:r>
        <w:t xml:space="preserve"> </w:t>
      </w:r>
      <w:r>
        <w:rPr>
          <w:iCs/>
          <w:i/>
        </w:rPr>
        <w:t xml:space="preserve">JV</w:t>
      </w:r>
      <w:r>
        <w:rPr>
          <w:vertAlign w:val="subscript"/>
        </w:rPr>
        <w:t xml:space="preserve">PSII</w:t>
      </w:r>
      <w:r>
        <w:t xml:space="preserve"> </w:t>
      </w:r>
      <w:r>
        <w:t xml:space="preserve">under some of the tested excitations (Table S9), but</w:t>
      </w:r>
      <w:r>
        <w:t xml:space="preserve"> </w:t>
      </w:r>
      <w:r>
        <w:rPr>
          <w:iCs/>
          <w:i/>
        </w:rPr>
        <w:t xml:space="preserve">JV</w:t>
      </w:r>
      <w:r>
        <w:rPr>
          <w:vertAlign w:val="subscript"/>
        </w:rPr>
        <w:t xml:space="preserve">PSII</w:t>
      </w:r>
      <w:r>
        <w:t xml:space="preserve"> </w:t>
      </w:r>
      <w:r>
        <w:t xml:space="preserve">for cultures grown under, and excited through, Ex</w:t>
      </w:r>
      <w:r>
        <w:rPr>
          <w:vertAlign w:val="subscript"/>
        </w:rPr>
        <w:t xml:space="preserve">445nm</w:t>
      </w:r>
      <w:r>
        <w:t xml:space="preserve"> </w:t>
      </w:r>
      <w:r>
        <w:t xml:space="preserve">absorbed by chlorophyll, shows no difference between low and high [O</w:t>
      </w:r>
      <w:r>
        <w:rPr>
          <w:vertAlign w:val="subscript"/>
        </w:rPr>
        <w:t xml:space="preserve">2</w:t>
      </w:r>
      <w:r>
        <w:t xml:space="preserve">] with increasing actinic light.</w:t>
      </w:r>
    </w:p>
    <w:p>
      <w:pPr>
        <w:pStyle w:val="BodyText"/>
      </w:pPr>
      <w:r>
        <w:t xml:space="preserve">Fig.</w:t>
      </w:r>
      <w:r>
        <w:t xml:space="preserve"> </w:t>
      </w:r>
      <w:r>
        <w:t xml:space="preserve">4</w:t>
      </w:r>
      <w:r>
        <w:rPr>
          <w:iCs/>
          <w:i/>
        </w:rPr>
        <w:t xml:space="preserve">b</w:t>
      </w:r>
      <w:r>
        <w:t xml:space="preserve"> </w:t>
      </w:r>
      <w:r>
        <w:t xml:space="preserve">presents linear regressions between chlorophyll-specific growth rates (µ; d</w:t>
      </w:r>
      <w:r>
        <w:rPr>
          <w:vertAlign w:val="superscript"/>
        </w:rPr>
        <w:t xml:space="preserve">−1</w:t>
      </w:r>
      <w:r>
        <w:t xml:space="preserve">) and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the diel peak PAR growth light. µ (d</w:t>
      </w:r>
      <w:r>
        <w:rPr>
          <w:vertAlign w:val="superscript"/>
        </w:rPr>
        <w:t xml:space="preserve">−1</w:t>
      </w:r>
      <w:r>
        <w:t xml:space="preserve">), as expected, is positively correlated with</w:t>
      </w:r>
      <w:r>
        <w:t xml:space="preserve"> </w:t>
      </w:r>
      <w:r>
        <w:rPr>
          <w:iCs/>
          <w:i/>
        </w:rPr>
        <w:t xml:space="preserve">JV</w:t>
      </w:r>
      <w:r>
        <w:rPr>
          <w:vertAlign w:val="subscript"/>
        </w:rPr>
        <w:t xml:space="preserve">PSII</w:t>
      </w:r>
      <w:r>
        <w:t xml:space="preserve">, with slopes significantly greater than 0.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w:t>
      </w:r>
      <w:r>
        <w:rPr>
          <w:iCs/>
          <w:i/>
        </w:rPr>
        <w:t xml:space="preserve">p</w:t>
      </w:r>
      <w:r>
        <w:t xml:space="preserve"> </w:t>
      </w:r>
      <w:r>
        <w:t xml:space="preserve">&lt; 0.05, Tab. S11). In the PC-rich strain higher [O</w:t>
      </w:r>
      <w:r>
        <w:rPr>
          <w:vertAlign w:val="subscript"/>
        </w:rPr>
        <w:t xml:space="preserve">2</w:t>
      </w:r>
      <w:r>
        <w:t xml:space="preserve">] increases the growth yield of electron transport. In contrast, in the PE-rich strain, higher [O</w:t>
      </w:r>
      <w:r>
        <w:rPr>
          <w:vertAlign w:val="subscript"/>
        </w:rPr>
        <w:t xml:space="preserve">2</w:t>
      </w:r>
      <w:r>
        <w:t xml:space="preserve">] decreases the growth yield of electron transport. On the other hand, the regressions for a given [O</w:t>
      </w:r>
      <w:r>
        <w:rPr>
          <w:vertAlign w:val="subscript"/>
        </w:rPr>
        <w:t xml:space="preserve">2</w:t>
      </w:r>
      <w:r>
        <w:t xml:space="preserve">] are not significantly different between the two strains (</w:t>
      </w:r>
      <w:r>
        <w:rPr>
          <w:iCs/>
          <w:i/>
        </w:rPr>
        <w:t xml:space="preserve">p</w:t>
      </w:r>
      <w:r>
        <w:t xml:space="preserve"> </w:t>
      </w:r>
      <w:r>
        <w:t xml:space="preserve">&gt; 0.05, Tab. S11).</w:t>
      </w:r>
    </w:p>
    <w:p>
      <w:pPr>
        <w:pStyle w:val="BodyText"/>
      </w:pPr>
    </w:p>
    <w:p>
      <w:pPr>
        <w:pStyle w:val="CaptionedFigure"/>
      </w:pPr>
      <w:r>
        <w:drawing>
          <wp:inline>
            <wp:extent cx="5504749" cy="7339665"/>
            <wp:effectExtent b="0" l="0" r="0" t="0"/>
            <wp:docPr descr="Fig. 4: PSII electron flux (JVPSII; µmol e− µmol Chl a−1 s−1) vs. Actinic PAR (µmol photons m−2s−1) (a). JVPSII was estimated using FRRf induction curves with excitation at Ex445nm, blue; Ex470nm, blue-green; Ex535nm, green; or Ex590nm, orange; for PC-rich (green circle) or PE-rich (red circle) cultures of Synechococcus Data show situations in which cultures were excited by, and growing in, corresponding growth wavebands of 450, 470, 530, or 620 nm and 250 µM [O2] (open symbols and dashed line) or 2.5 µM [O2] (closed symbols and solid line). JVPSII vs. Actinic PAR (µmol photons m−2s−1) was fit with a Harrison and Platt Light Response Curve model (Harrison and Platt 1986), used to estimated JVPSII at 90 µmol photons m−2s−1 (vertical dotted lines). Chlorophyll-specific growth rates (µ; d−1) vs. PSII electron flux (JVPSII; µmol e− µmol Chl a−1 d−1) measured under half (90 µmol photons m−2s−1) of diel peak PAR growth light (b).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JVPSII.png" id="50" name="Picture"/>
                    <pic:cNvPicPr>
                      <a:picLocks noChangeArrowheads="1" noChangeAspect="1"/>
                    </pic:cNvPicPr>
                  </pic:nvPicPr>
                  <pic:blipFill>
                    <a:blip r:embed="rId4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51" w:name="fig:JVPSII"/>
      <w:bookmarkEnd w:id="51"/>
      <w:r>
        <w:rPr>
          <w:bCs/>
          <w:b/>
        </w:rPr>
        <w:t xml:space="preserve">Fig.</w:t>
      </w:r>
      <w:r>
        <w:rPr>
          <w:bCs/>
          <w:b/>
        </w:rPr>
        <w:t xml:space="preserve"> </w:t>
      </w:r>
      <w:r>
        <w:t xml:space="preserve">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w:t>
      </w:r>
      <w:r>
        <w:rPr>
          <w:iCs/>
          <w:i/>
        </w:rPr>
        <w:t xml:space="preserve">a</w:t>
      </w:r>
      <w:r>
        <w:t xml:space="preserve">).</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w:t>
      </w:r>
      <w:r>
        <w:t xml:space="preserve"> </w:t>
      </w:r>
      <w:r>
        <w:rPr>
          <w:iCs/>
          <w:i/>
        </w:rPr>
        <w:t xml:space="preserve">JV</w:t>
      </w:r>
      <w:r>
        <w:rPr>
          <w:vertAlign w:val="subscript"/>
        </w:rPr>
        <w:t xml:space="preserve">PSII</w:t>
      </w:r>
      <w:r>
        <w:t xml:space="preserve"> </w:t>
      </w:r>
      <w:r>
        <w:t xml:space="preserve">vs. Actinic PAR (µmol photons m</w:t>
      </w:r>
      <w:r>
        <w:rPr>
          <w:vertAlign w:val="superscript"/>
        </w:rPr>
        <w:t xml:space="preserve">−2</w:t>
      </w:r>
      <w:r>
        <w:t xml:space="preserve">s</w:t>
      </w:r>
      <w:r>
        <w:rPr>
          <w:vertAlign w:val="superscript"/>
        </w:rPr>
        <w:t xml:space="preserve">−1</w:t>
      </w:r>
      <w:r>
        <w:t xml:space="preserve">) was fit with a Harrison and Platt Light Response Curve model</w:t>
      </w:r>
      <w:r>
        <w:t xml:space="preserve"> </w:t>
      </w:r>
      <w:r>
        <w:t xml:space="preserve">(Harrison and Platt 1986)</w:t>
      </w:r>
      <w:r>
        <w:t xml:space="preserve">, used to estimated</w:t>
      </w:r>
      <w:r>
        <w:t xml:space="preserve"> </w:t>
      </w:r>
      <w:r>
        <w:rPr>
          <w:iCs/>
          <w:i/>
        </w:rPr>
        <w:t xml:space="preserve">JV</w:t>
      </w:r>
      <w:r>
        <w:rPr>
          <w:vertAlign w:val="subscript"/>
        </w:rPr>
        <w:t xml:space="preserve">PSII</w:t>
      </w:r>
      <w:r>
        <w:t xml:space="preserve"> </w:t>
      </w:r>
      <w:r>
        <w:t xml:space="preserve">at 90 µmol photons m</w:t>
      </w:r>
      <w:r>
        <w:rPr>
          <w:vertAlign w:val="superscript"/>
        </w:rPr>
        <w:t xml:space="preserve">−2</w:t>
      </w:r>
      <w:r>
        <w:t xml:space="preserve">s</w:t>
      </w:r>
      <w:r>
        <w:rPr>
          <w:vertAlign w:val="superscript"/>
        </w:rPr>
        <w:t xml:space="preserve">−1</w:t>
      </w:r>
      <w:r>
        <w:t xml:space="preserve"> </w:t>
      </w:r>
      <w:r>
        <w:t xml:space="preserve">(vertical dotted lines).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(90 µmol photons m</w:t>
      </w:r>
      <w:r>
        <w:rPr>
          <w:vertAlign w:val="superscript"/>
        </w:rPr>
        <w:t xml:space="preserve">−2</w:t>
      </w:r>
      <w:r>
        <w:t xml:space="preserve">s</w:t>
      </w:r>
      <w:r>
        <w:rPr>
          <w:vertAlign w:val="superscript"/>
        </w:rPr>
        <w:t xml:space="preserve">−1</w:t>
      </w:r>
      <w:r>
        <w:t xml:space="preserve">) of diel peak PAR growth light (</w:t>
      </w:r>
      <w:r>
        <w:rPr>
          <w:iCs/>
          <w:i/>
        </w:rPr>
        <w:t xml:space="preserve">b</w:t>
      </w:r>
      <w:r>
        <w:t xml:space="preserv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52"/>
    <w:bookmarkEnd w:id="53"/>
    <w:bookmarkStart w:id="56" w:name="discussion"/>
    <w:p>
      <w:pPr>
        <w:pStyle w:val="Heading1"/>
      </w:pPr>
      <w:r>
        <w:t xml:space="preserve">Discussion</w:t>
      </w:r>
    </w:p>
    <w:bookmarkStart w:id="54" w:name="Xa8f08220b31082a52e70f99a6e9d926aad5e63d"/>
    <w:p>
      <w:pPr>
        <w:pStyle w:val="Heading2"/>
      </w:pPr>
      <w:r>
        <w:t xml:space="preserve">Growth responses of PC-rich and PE-rich picocyanobacteria across [O</w:t>
      </w:r>
      <w:r>
        <w:rPr>
          <w:vertAlign w:val="subscript"/>
        </w:rPr>
        <w:t xml:space="preserve">2</w:t>
      </w:r>
      <w:r>
        <w:t xml:space="preserve">] and spectral wavebands</w:t>
      </w:r>
    </w:p>
    <w:p>
      <w:pPr>
        <w:pStyle w:val="FirstParagraph"/>
      </w:pPr>
      <w:r>
        <w:t xml:space="preserve">Picocyanobacteria are major contributors to primary marine production. Picocyanobacteria from the genus</w:t>
      </w:r>
      <w:r>
        <w:t xml:space="preserve"> </w:t>
      </w:r>
      <w:r>
        <w:rPr>
          <w:iCs/>
          <w:i/>
        </w:rPr>
        <w:t xml:space="preserve">Synechococcus</w:t>
      </w:r>
      <w:r>
        <w:t xml:space="preserve"> </w:t>
      </w:r>
      <w:r>
        <w:t xml:space="preserve">tolerate and exploit a wide range of environments</w:t>
      </w:r>
      <w:r>
        <w:t xml:space="preserve"> </w:t>
      </w:r>
      <w:r>
        <w:t xml:space="preserve">(Śliwińska-Wilczewska et al. 2018a; Aguilera et al. 2023)</w:t>
      </w:r>
      <w:r>
        <w:t xml:space="preserve"> </w:t>
      </w:r>
      <w:r>
        <w:t xml:space="preserve">but the interactive influences of [O</w:t>
      </w:r>
      <w:r>
        <w:rPr>
          <w:vertAlign w:val="subscript"/>
        </w:rPr>
        <w:t xml:space="preserve">2</w:t>
      </w:r>
      <w:r>
        <w:t xml:space="preserve">] and spectral wavebands on their growth rates and ecophysiology have not yet been investigated.</w:t>
      </w:r>
    </w:p>
    <w:p>
      <w:pPr>
        <w:pStyle w:val="BodyText"/>
      </w:pPr>
      <w:r>
        <w:t xml:space="preserve">PC-rich and PE-rich</w:t>
      </w:r>
      <w:r>
        <w:t xml:space="preserve"> </w:t>
      </w:r>
      <w:r>
        <w:rPr>
          <w:iCs/>
          <w:i/>
        </w:rPr>
        <w:t xml:space="preserve">Synechococcus</w:t>
      </w:r>
      <w:r>
        <w:t xml:space="preserve"> </w:t>
      </w:r>
      <w:r>
        <w:t xml:space="preserve">from coastal habitats are exposed to changes in irradiance, spectral waveband, and potentially [O</w:t>
      </w:r>
      <w:r>
        <w:rPr>
          <w:vertAlign w:val="subscript"/>
        </w:rPr>
        <w:t xml:space="preserve">2</w:t>
      </w:r>
      <w:r>
        <w:t xml:space="preserve">], by vertical movements through the mixed layer. Fluctuation in spectral wavebands change the balance between productive photosynthesis, and photoinactivation of PSII</w:t>
      </w:r>
      <w:r>
        <w:t xml:space="preserve"> </w:t>
      </w:r>
      <w:r>
        <w:t xml:space="preserve">(Six et al. 2007)</w:t>
      </w:r>
      <w:r>
        <w:t xml:space="preserve">, increasing the cost of growth by diverting protein metabolism towards PSII repair</w:t>
      </w:r>
      <w:r>
        <w:t xml:space="preserve"> </w:t>
      </w:r>
      <w:r>
        <w:t xml:space="preserve">(Murphy et al. 2017)</w:t>
      </w:r>
      <w:r>
        <w:t xml:space="preserve">. Indeed, under 250 µM [O</w:t>
      </w:r>
      <w:r>
        <w:rPr>
          <w:vertAlign w:val="subscript"/>
        </w:rPr>
        <w:t xml:space="preserve">2</w:t>
      </w:r>
      <w:r>
        <w:t xml:space="preserve">], the PC-rich strain failed to grow under 405 nm, while the PE-rich strain failed to grow under 405 and 450, consistent with accelerated photoinactivation of PSII under blue wavebands</w:t>
      </w:r>
      <w:r>
        <w:t xml:space="preserve"> </w:t>
      </w:r>
      <w:r>
        <w:t xml:space="preserve">(Murphy et al. 2017)</w:t>
      </w:r>
      <w:r>
        <w:t xml:space="preserve">. In contrast, growth persisted in both strains at 405 &amp; 450 nm under 2.5 µM [O</w:t>
      </w:r>
      <w:r>
        <w:rPr>
          <w:vertAlign w:val="subscript"/>
        </w:rPr>
        <w:t xml:space="preserve">2</w:t>
      </w:r>
      <w:r>
        <w:t xml:space="preserve">], likely because generation of toxic Reactive Oxygen Species (ROS) was suppressed, lowering the burden of photoinactivation of PSII.</w:t>
      </w:r>
    </w:p>
    <w:p>
      <w:pPr>
        <w:pStyle w:val="BodyText"/>
      </w:pPr>
      <w:r>
        <w:t xml:space="preserve">µ shows positive responses to both Phycobiliproteins:Chlorophyll</w:t>
      </w:r>
      <w:r>
        <w:t xml:space="preserve"> </w:t>
      </w:r>
      <w:r>
        <w:rPr>
          <w:iCs/>
          <w:i/>
        </w:rPr>
        <w:t xml:space="preserve">a</w:t>
      </w:r>
      <w:r>
        <w:t xml:space="preserve"> </w:t>
      </w:r>
      <w:r>
        <w:t xml:space="preserve">ratio, an index of light capture capacity, and to cumulative diel PSII electron flux (</w:t>
      </w:r>
      <w:r>
        <w:rPr>
          <w:iCs/>
          <w:i/>
        </w:rPr>
        <w:t xml:space="preserve">JV</w:t>
      </w:r>
      <w:r>
        <w:rPr>
          <w:vertAlign w:val="subscript"/>
        </w:rPr>
        <w:t xml:space="preserve">PSII</w:t>
      </w:r>
      <w:r>
        <w:t xml:space="preserve">) for</w:t>
      </w:r>
      <w:r>
        <w:t xml:space="preserve"> </w:t>
      </w:r>
      <w:r>
        <w:rPr>
          <w:iCs/>
          <w:i/>
        </w:rPr>
        <w:t xml:space="preserve">Synechococcus</w:t>
      </w:r>
      <w:r>
        <w:t xml:space="preserve">, although the relations varied across strain and with [O</w:t>
      </w:r>
      <w:r>
        <w:rPr>
          <w:vertAlign w:val="subscript"/>
        </w:rPr>
        <w:t xml:space="preserve">2</w:t>
      </w:r>
      <w:r>
        <w:t xml:space="preserve">]. In the PC-rich strain lower [O</w:t>
      </w:r>
      <w:r>
        <w:rPr>
          <w:vertAlign w:val="subscript"/>
        </w:rPr>
        <w:t xml:space="preserve">2</w:t>
      </w:r>
      <w:r>
        <w:t xml:space="preserve">] lowered the yield of growth per electron flux, while in the PE-rich strain the yield of growth per electron flux increased under lower [O</w:t>
      </w:r>
      <w:r>
        <w:rPr>
          <w:vertAlign w:val="subscript"/>
        </w:rPr>
        <w:t xml:space="preserve">2</w:t>
      </w:r>
      <w:r>
        <w:t xml:space="preserve">]. Note that these regressions excluded those conditions where no growth occurred. In contrast, growth showed no correlation to estimated Photosynthetically Usuable Radiation (PUR) (</w:t>
      </w:r>
      <w:r>
        <w:t xml:space="preserve">(Morel 1978)</w:t>
      </w:r>
      <w:r>
        <w:t xml:space="preserve">; Fig. S8), likely because of variable allocations of excitation from phycobilisomes across growth conditions</w:t>
      </w:r>
      <w:r>
        <w:t xml:space="preserve"> </w:t>
      </w:r>
      <w:r>
        <w:t xml:space="preserve">(Campbell 1996)</w:t>
      </w:r>
      <w:r>
        <w:t xml:space="preserve">, not captured in the PUR metric based upon light absorption.</w:t>
      </w:r>
    </w:p>
    <w:p>
      <w:pPr>
        <w:pStyle w:val="BodyText"/>
      </w:pPr>
      <w:r>
        <w:t xml:space="preserve">Wong et al. (2023)</w:t>
      </w:r>
      <w:r>
        <w:t xml:space="preserve"> </w:t>
      </w:r>
      <w:r>
        <w:t xml:space="preserve">found that vertical structures of phytoplankton communities in OMZ are not sufficiently explained by top-down predation pressure nor light and/or nutrient limitation and thus, some phytoplankton may have a higher than expected direct O</w:t>
      </w:r>
      <w:r>
        <w:rPr>
          <w:vertAlign w:val="subscript"/>
        </w:rPr>
        <w:t xml:space="preserve">2</w:t>
      </w:r>
      <w:r>
        <w:t xml:space="preserve"> </w:t>
      </w:r>
      <w:r>
        <w:t xml:space="preserve">requirement, with growth inhibited by low O</w:t>
      </w:r>
      <w:r>
        <w:rPr>
          <w:vertAlign w:val="subscript"/>
        </w:rPr>
        <w:t xml:space="preserve">2</w:t>
      </w:r>
      <w:r>
        <w:t xml:space="preserve"> </w:t>
      </w:r>
      <w:r>
        <w:t xml:space="preserve">levels. However, in our work we show that low oxygen levels either do affect, or sometimes even benefit, growth of different</w:t>
      </w:r>
      <w:r>
        <w:t xml:space="preserve"> </w:t>
      </w:r>
      <w:r>
        <w:rPr>
          <w:iCs/>
          <w:i/>
        </w:rPr>
        <w:t xml:space="preserve">Synechococcus</w:t>
      </w:r>
      <w:r>
        <w:t xml:space="preserve"> </w:t>
      </w:r>
      <w:r>
        <w:t xml:space="preserve">phenotypes across spectral wavebands. What is more, historical data link major extinction events to warm climates and oxygen-deficient oceans, with current anthropogenic activities possibly leading to widespread OMZ within a thousand years</w:t>
      </w:r>
      <w:r>
        <w:t xml:space="preserve"> </w:t>
      </w:r>
      <w:r>
        <w:t xml:space="preserve">(Breitburg et al. 2018)</w:t>
      </w:r>
      <w:r>
        <w:t xml:space="preserve">. The PC-rich strain showed generally similar growth rates under high and low tested [O</w:t>
      </w:r>
      <w:r>
        <w:rPr>
          <w:vertAlign w:val="subscript"/>
        </w:rPr>
        <w:t xml:space="preserve">2</w:t>
      </w:r>
      <w:r>
        <w:t xml:space="preserve">], while PE-rich strain achieved faster growth rates under low (2.5 µM) than under high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2018a)</w:t>
      </w:r>
      <w:r>
        <w:t xml:space="preserve"> </w:t>
      </w:r>
      <w:r>
        <w:t xml:space="preserve">but we suggest that the PE-rich strains are actually limited to lower light by the interaction between light and full air-saturated [O</w:t>
      </w:r>
      <w:r>
        <w:rPr>
          <w:vertAlign w:val="subscript"/>
        </w:rPr>
        <w:t xml:space="preserve">2</w:t>
      </w:r>
      <w:r>
        <w:t xml:space="preserve">]. In lower oxygen waters PE-rich strains will likely exploit higher light niches nearer the surface.</w:t>
      </w:r>
    </w:p>
    <w:p>
      <w:pPr>
        <w:pStyle w:val="BodyText"/>
      </w:pPr>
    </w:p>
    <w:bookmarkEnd w:id="54"/>
    <w:bookmarkStart w:id="55" w:name="X66a9d312b291ce3d7756f99b5e98f3b01aab8f0"/>
    <w:p>
      <w:pPr>
        <w:pStyle w:val="Heading2"/>
      </w:pPr>
      <w:r>
        <w:t xml:space="preserve">Physiological adaptations of PC-rich and PE-rich picocyanobacteria to [O</w:t>
      </w:r>
      <w:r>
        <w:rPr>
          <w:vertAlign w:val="subscript"/>
        </w:rPr>
        <w:t xml:space="preserve">2</w:t>
      </w:r>
      <w:r>
        <w:t xml:space="preserve">] and spectral wavebands</w:t>
      </w:r>
    </w:p>
    <w:p>
      <w:pPr>
        <w:pStyle w:val="FirstParagraph"/>
      </w:pPr>
      <w:r>
        <w:rPr>
          <w:iCs/>
          <w:i/>
        </w:rPr>
        <w:t xml:space="preserve">Synechococcus</w:t>
      </w:r>
      <w:r>
        <w:t xml:space="preserve"> </w:t>
      </w:r>
      <w:r>
        <w:t xml:space="preserve">strains vary widely in pigment composition, enabling them to exploit different spectral niches</w:t>
      </w:r>
      <w:r>
        <w:t xml:space="preserve"> </w:t>
      </w:r>
      <w:r>
        <w:t xml:space="preserve">(Moore et al. 1995; Six et al. 2007; Grébert et al. 2018; Efimova et al. 2020)</w:t>
      </w:r>
      <w:r>
        <w:t xml:space="preserve">. With a small diameter of 0.8–2.0 µm,</w:t>
      </w:r>
      <w:r>
        <w:t xml:space="preserve"> </w:t>
      </w:r>
      <w:r>
        <w:rPr>
          <w:iCs/>
          <w:i/>
        </w:rPr>
        <w:t xml:space="preserve">Synechococcus</w:t>
      </w:r>
      <w:r>
        <w:t xml:space="preserve"> </w:t>
      </w:r>
      <w:r>
        <w:t xml:space="preserve">possess a high surface-to-volume ratio</w:t>
      </w:r>
      <w:r>
        <w:t xml:space="preserve"> </w:t>
      </w:r>
      <w:r>
        <w:t xml:space="preserve">(Śliwińska-Wilczewska et al. 2018b)</w:t>
      </w:r>
      <w:r>
        <w:t xml:space="preserve">, minimizing pigment package effects</w:t>
      </w:r>
      <w:r>
        <w:t xml:space="preserve"> </w:t>
      </w:r>
      <w:r>
        <w:t xml:space="preserve">(Finkel 2001)</w:t>
      </w:r>
      <w:r>
        <w:t xml:space="preserve">, and resulting in high optical absorption per pigment. This characteristic allows them to thrive deep in the water column</w:t>
      </w:r>
      <w:r>
        <w:t xml:space="preserve"> </w:t>
      </w:r>
      <w:r>
        <w:t xml:space="preserve">(Moore et al. 1995)</w:t>
      </w:r>
      <w:r>
        <w:t xml:space="preserve">, and to disproportionately influence sub-surface light fields</w:t>
      </w:r>
      <w:r>
        <w:t xml:space="preserve"> </w:t>
      </w:r>
      <w:r>
        <w:t xml:space="preserve">(Berthold and Schumann 2020)</w:t>
      </w:r>
      <w:r>
        <w:t xml:space="preserve">. Although limited package effects increases photon capture per pigment investment, it also increases</w:t>
      </w:r>
      <w:r>
        <w:t xml:space="preserve"> </w:t>
      </w:r>
      <w:r>
        <w:rPr>
          <w:iCs/>
          <w:i/>
        </w:rPr>
        <w:t xml:space="preserve">Synechococcus</w:t>
      </w:r>
      <w:r>
        <w:t xml:space="preserve"> </w:t>
      </w:r>
      <w:r>
        <w:t xml:space="preserve">susceptibility to light-induced damage</w:t>
      </w:r>
      <w:r>
        <w:t xml:space="preserve"> </w:t>
      </w:r>
      <w:r>
        <w:t xml:space="preserve">(Llabrés and Agustí 2006, 2010)</w:t>
      </w:r>
      <w:r>
        <w:t xml:space="preserve">. In some</w:t>
      </w:r>
      <w:r>
        <w:t xml:space="preserve"> </w:t>
      </w:r>
      <w:r>
        <w:rPr>
          <w:iCs/>
          <w:i/>
        </w:rPr>
        <w:t xml:space="preserve">Synechococcus</w:t>
      </w:r>
      <w:r>
        <w:t xml:space="preserve">, a carotenoid-protein complex regulates the connectivity of the phycobilisome to the reaction center, mediating a form of non-photochemical quenching of excitation</w:t>
      </w:r>
      <w:r>
        <w:t xml:space="preserve"> </w:t>
      </w:r>
      <w:r>
        <w:t xml:space="preserve">Kirilovsky (2015)</w:t>
      </w:r>
      <w:r>
        <w:t xml:space="preserve">. In our work we found no change in bulk carotenoids content (Fig.</w:t>
      </w:r>
      <w:r>
        <w:t xml:space="preserve"> </w:t>
      </w:r>
      <w:r>
        <w:t xml:space="preserve">2</w:t>
      </w:r>
      <w:r>
        <w:t xml:space="preserve">), nor in Car to Chl</w:t>
      </w:r>
      <w:r>
        <w:t xml:space="preserve"> </w:t>
      </w:r>
      <w:r>
        <w:rPr>
          <w:iCs/>
          <w:i/>
        </w:rPr>
        <w:t xml:space="preserve">a</w:t>
      </w:r>
      <w:r>
        <w:t xml:space="preserve"> </w:t>
      </w:r>
      <w:r>
        <w:t xml:space="preserve">ratio (Fig. S3) under the different [O</w:t>
      </w:r>
      <w:r>
        <w:rPr>
          <w:vertAlign w:val="subscript"/>
        </w:rPr>
        <w:t xml:space="preserve">2</w:t>
      </w:r>
      <w:r>
        <w:t xml:space="preserve">]. What is more, for the PE-rich strain, the carotenoids content did not change across tested wavebands. On the other hand, for PC-rich picocyanobacteria, a slight increase in carotenoids was recorded under 405 nm, although these cells were not growing and were thus under stress.</w:t>
      </w:r>
    </w:p>
    <w:p>
      <w:pPr>
        <w:pStyle w:val="BodyText"/>
      </w:pPr>
      <w:r>
        <w:t xml:space="preserve">σ</w:t>
      </w:r>
      <w:r>
        <w:rPr>
          <w:vertAlign w:val="subscript"/>
        </w:rPr>
        <w:t xml:space="preserve">PSII</w:t>
      </w:r>
      <w:r>
        <w:t xml:space="preserve"> </w:t>
      </w:r>
      <w:r>
        <w:t xml:space="preserve">was low and showed little change with increasing actinic light during excitation through chlorophyll at Ex</w:t>
      </w:r>
      <w:r>
        <w:rPr>
          <w:vertAlign w:val="subscript"/>
        </w:rPr>
        <w:t xml:space="preserve">445nm</w:t>
      </w:r>
      <w:r>
        <w:t xml:space="preserve">, because in cyanobacteria the number of chlorophyll per PSII is low, and nearly fixed, so the effective absorption cross section of PSII for chlorophyll is low</w:t>
      </w:r>
      <w:r>
        <w:t xml:space="preserve"> </w:t>
      </w:r>
      <w:r>
        <w:t xml:space="preserve">(Xu et al. 2018)</w:t>
      </w:r>
      <w:r>
        <w:t xml:space="preserve">. With excitation through the phycobilisomes at 535 and 590 nm σ</w:t>
      </w:r>
      <w:r>
        <w:rPr>
          <w:vertAlign w:val="subscript"/>
        </w:rPr>
        <w:t xml:space="preserve">PSII</w:t>
      </w:r>
      <w:r>
        <w:t xml:space="preserve"> </w:t>
      </w:r>
      <w:r>
        <w:t xml:space="preserve">rose to a peak near the acclimated light level of ~ 90 µmol photons m</w:t>
      </w:r>
      <w:r>
        <w:rPr>
          <w:vertAlign w:val="superscript"/>
        </w:rPr>
        <w:t xml:space="preserve">-1</w:t>
      </w:r>
      <w:r>
        <w:t xml:space="preserve"> </w:t>
      </w:r>
      <w:r>
        <w:t xml:space="preserve">s</w:t>
      </w:r>
      <w:r>
        <w:rPr>
          <w:vertAlign w:val="superscript"/>
        </w:rPr>
        <w:t xml:space="preserve">-1</w:t>
      </w:r>
      <w:r>
        <w:t xml:space="preserve"> </w:t>
      </w:r>
      <w:r>
        <w:t xml:space="preserve">(Campbell and Oquist 1996)</w:t>
      </w:r>
      <w:r>
        <w:t xml:space="preserve">, reflecting the state transition mechanism.</w:t>
      </w:r>
    </w:p>
    <w:p>
      <w:pPr>
        <w:pStyle w:val="BodyText"/>
      </w:pPr>
      <w:r>
        <w:t xml:space="preserve">τ</w:t>
      </w:r>
      <w:r>
        <w:rPr>
          <w:vertAlign w:val="subscript"/>
        </w:rPr>
        <w:t xml:space="preserve">PSII</w:t>
      </w:r>
      <w:r>
        <w:t xml:space="preserve">, was generally faster for both PC-rich and PE-rich strains under 250 µM [O</w:t>
      </w:r>
      <w:r>
        <w:rPr>
          <w:vertAlign w:val="subscript"/>
        </w:rPr>
        <w:t xml:space="preserve">2</w:t>
      </w:r>
      <w:r>
        <w:t xml:space="preserve">], consistent with the cyanobacterial capacity for pseudo-cyclic electron flows away from PSII to [O</w:t>
      </w:r>
      <w:r>
        <w:rPr>
          <w:vertAlign w:val="subscript"/>
        </w:rPr>
        <w:t xml:space="preserve">2</w:t>
      </w:r>
      <w:r>
        <w:t xml:space="preserve">]</w:t>
      </w:r>
      <w:r>
        <w:t xml:space="preserve"> </w:t>
      </w:r>
      <w:r>
        <w:t xml:space="preserve">(Campbell et al. 1999; Grossman et al. 2010; Hughes et al. 2018)</w:t>
      </w:r>
      <w:r>
        <w:t xml:space="preserve"> </w:t>
      </w:r>
      <w:r>
        <w:t xml:space="preserve">and probably protected by flavodiiron proteins</w:t>
      </w:r>
      <w:r>
        <w:t xml:space="preserve"> </w:t>
      </w:r>
      <w:r>
        <w:t xml:space="preserve">(Allahverdiyeva et al. 2015)</w:t>
      </w:r>
      <w:r>
        <w:t xml:space="preserve">, thereby controlling feedback inhibition of electron transport, and decreasing the risks of ROS production. In parallel,q</w:t>
      </w:r>
      <w:r>
        <w:rPr>
          <w:vertAlign w:val="subscript"/>
        </w:rPr>
        <w:t xml:space="preserve">P</w:t>
      </w:r>
      <w:r>
        <w:t xml:space="preserve"> </w:t>
      </w:r>
      <w:r>
        <w:t xml:space="preserve">was generally higher for PC-rich, and particularly for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w:t>
      </w:r>
      <w:r>
        <w:t xml:space="preserve">(Campbell et al. 1999; Hughes et al. 2018)</w:t>
      </w:r>
      <w:r>
        <w:t xml:space="preserve">, particularly under excess excitation above the acclimated PAR of ~ 90 µmol photons m</w:t>
      </w:r>
      <w:r>
        <w:rPr>
          <w:vertAlign w:val="superscript"/>
        </w:rPr>
        <w:t xml:space="preserve">-1</w:t>
      </w:r>
      <w:r>
        <w:t xml:space="preserve"> </w:t>
      </w:r>
      <w:r>
        <w:t xml:space="preserve">s</w:t>
      </w:r>
      <w:r>
        <w:rPr>
          <w:vertAlign w:val="superscript"/>
        </w:rPr>
        <w:t xml:space="preserve">-1</w:t>
      </w:r>
      <w:r>
        <w:t xml:space="preserve">. In spite of this superior electron transport performance under 250 µM [O</w:t>
      </w:r>
      <w:r>
        <w:rPr>
          <w:vertAlign w:val="subscript"/>
        </w:rPr>
        <w:t xml:space="preserve">2</w:t>
      </w:r>
      <w:r>
        <w:t xml:space="preserve">] the PE-rich strain grew faster under 2.5 µM [O</w:t>
      </w:r>
      <w:r>
        <w:rPr>
          <w:vertAlign w:val="subscript"/>
        </w:rPr>
        <w:t xml:space="preserve">2</w:t>
      </w:r>
      <w:r>
        <w:t xml:space="preserve">], thus reflecting an increase in the growth return upon electron transport.</w:t>
      </w:r>
    </w:p>
    <w:p>
      <w:pPr>
        <w:pStyle w:val="BodyText"/>
      </w:pPr>
      <w:r>
        <w:t xml:space="preserve">Picocyanobacteria numerically dominate vast tracts of the oceans, contributing significant primary production, particularly in oligotrophic regions, but also in some coastal habitats</w:t>
      </w:r>
      <w:r>
        <w:t xml:space="preserve"> </w:t>
      </w:r>
      <w:r>
        <w:t xml:space="preserve">(Haverkamp 2008; Larsson et al. 2014; Doré et al. 2022; Aguilera et al. 2023)</w:t>
      </w:r>
      <w:r>
        <w:t xml:space="preserve">. The ecological success of picoplanktonic</w:t>
      </w:r>
      <w:r>
        <w:t xml:space="preserve"> </w:t>
      </w:r>
      <w:r>
        <w:rPr>
          <w:iCs/>
          <w:i/>
        </w:rPr>
        <w:t xml:space="preserve">Synechococcus</w:t>
      </w:r>
      <w:r>
        <w:t xml:space="preserve"> </w:t>
      </w:r>
      <w:r>
        <w:t xml:space="preserve">reflects specific lineages occupying different niches to populate the world’s oceans</w:t>
      </w:r>
      <w:r>
        <w:t xml:space="preserve"> </w:t>
      </w:r>
      <w:r>
        <w:t xml:space="preserve">(Scanlan 2012)</w:t>
      </w:r>
      <w:r>
        <w:t xml:space="preserve">. Picocyanobacteria species can share the light spectrum by specializing in different wavelengths</w:t>
      </w:r>
      <w:r>
        <w:t xml:space="preserve"> </w:t>
      </w:r>
      <w:r>
        <w:t xml:space="preserve">Stomp et al. (2007)</w:t>
      </w:r>
      <w:r>
        <w:t xml:space="preserve">. Competition models and laboratory experiments show that PE-rich picocyanobacteria outperform competitors in green light while PC-rich picocyanobacteria dominate in red light, while both species can coexist across the full spectrum</w:t>
      </w:r>
      <w:r>
        <w:t xml:space="preserve"> </w:t>
      </w:r>
      <w:r>
        <w:t xml:space="preserve">(Stomp et al. 2004, 2007)</w:t>
      </w:r>
      <w:r>
        <w:t xml:space="preserve">. We now find that spectral waveband interacts with [O</w:t>
      </w:r>
      <w:r>
        <w:rPr>
          <w:vertAlign w:val="subscript"/>
        </w:rPr>
        <w:t xml:space="preserve">2</w:t>
      </w:r>
      <w:r>
        <w:t xml:space="preserve">] as determinants of growth rates across different</w:t>
      </w:r>
      <w:r>
        <w:t xml:space="preserve"> </w:t>
      </w:r>
      <w:r>
        <w:rPr>
          <w:iCs/>
          <w:i/>
        </w:rPr>
        <w:t xml:space="preserve">Synechococcus</w:t>
      </w:r>
      <w:r>
        <w:t xml:space="preserve"> </w:t>
      </w:r>
      <w:r>
        <w:t xml:space="preserve">strains, and that changing [O</w:t>
      </w:r>
      <w:r>
        <w:rPr>
          <w:vertAlign w:val="subscript"/>
        </w:rPr>
        <w:t xml:space="preserve">2</w:t>
      </w:r>
      <w:r>
        <w:t xml:space="preserve">] may drive different pigmentation phenotypes into different ecological niches.</w:t>
      </w:r>
    </w:p>
    <w:p>
      <w:pPr>
        <w:pStyle w:val="BodyText"/>
      </w:pPr>
    </w:p>
    <w:bookmarkEnd w:id="55"/>
    <w:bookmarkEnd w:id="56"/>
    <w:bookmarkStart w:id="57" w:name="acknowledgements"/>
    <w:p>
      <w:pPr>
        <w:pStyle w:val="Heading1"/>
      </w:pPr>
      <w:r>
        <w:t xml:space="preserve">Acknowledgements</w:t>
      </w:r>
    </w:p>
    <w:p>
      <w:pPr>
        <w:pStyle w:val="FirstParagraph"/>
      </w:pPr>
      <w:r>
        <w:t xml:space="preserve">We thank Naaman M.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7"/>
    <w:bookmarkStart w:id="60" w:name="article-information"/>
    <w:p>
      <w:pPr>
        <w:pStyle w:val="Heading1"/>
      </w:pPr>
      <w:r>
        <w:t xml:space="preserve">Article information</w:t>
      </w:r>
    </w:p>
    <w:bookmarkStart w:id="59"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8">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9"/>
    <w:bookmarkEnd w:id="60"/>
    <w:bookmarkStart w:id="68" w:name="author-information"/>
    <w:p>
      <w:pPr>
        <w:pStyle w:val="Heading1"/>
      </w:pPr>
      <w:r>
        <w:t xml:space="preserve">Author information</w:t>
      </w:r>
    </w:p>
    <w:bookmarkStart w:id="64" w:name="author-orcids"/>
    <w:p>
      <w:pPr>
        <w:pStyle w:val="Heading2"/>
      </w:pPr>
      <w:r>
        <w:t xml:space="preserve">Author ORCIDs</w:t>
      </w:r>
    </w:p>
    <w:p>
      <w:pPr>
        <w:pStyle w:val="FirstParagraph"/>
      </w:pPr>
      <w:r>
        <w:t xml:space="preserve">Sylwia Śliwińska-Wilczewska</w:t>
      </w:r>
      <w:r>
        <w:t xml:space="preserve"> </w:t>
      </w:r>
      <w:hyperlink r:id="rId61">
        <w:r>
          <w:rPr>
            <w:rStyle w:val="Hyperlink"/>
          </w:rPr>
          <w:t xml:space="preserve">https://orcid.org/0000-0002-3147-6605</w:t>
        </w:r>
      </w:hyperlink>
      <w:r>
        <w:t xml:space="preserve"> </w:t>
      </w:r>
      <w:r>
        <w:t xml:space="preserve">Mireille Savoie</w:t>
      </w:r>
      <w:r>
        <w:t xml:space="preserve"> </w:t>
      </w:r>
      <w:hyperlink r:id="rId62">
        <w:r>
          <w:rPr>
            <w:rStyle w:val="Hyperlink"/>
          </w:rPr>
          <w:t xml:space="preserve">https://orcid.org/0009-0009-9499-6657</w:t>
        </w:r>
      </w:hyperlink>
      <w:r>
        <w:t xml:space="preserve"> </w:t>
      </w:r>
      <w:r>
        <w:t xml:space="preserve">Douglas A. Campbell</w:t>
      </w:r>
      <w:r>
        <w:t xml:space="preserve"> </w:t>
      </w:r>
      <w:hyperlink r:id="rId63">
        <w:r>
          <w:rPr>
            <w:rStyle w:val="Hyperlink"/>
          </w:rPr>
          <w:t xml:space="preserve">https://orcid.org/0000-0001-8996-5463</w:t>
        </w:r>
      </w:hyperlink>
    </w:p>
    <w:p>
      <w:pPr>
        <w:pStyle w:val="BodyText"/>
      </w:pPr>
    </w:p>
    <w:bookmarkEnd w:id="64"/>
    <w:bookmarkStart w:id="65"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5"/>
    <w:bookmarkStart w:id="66"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6"/>
    <w:bookmarkStart w:id="67"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7"/>
    <w:bookmarkEnd w:id="68"/>
    <w:bookmarkStart w:id="69"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9"/>
    <w:bookmarkStart w:id="189" w:name="references"/>
    <w:p>
      <w:pPr>
        <w:pStyle w:val="Heading1"/>
      </w:pPr>
      <w:r>
        <w:t xml:space="preserve">References</w:t>
      </w:r>
    </w:p>
    <w:bookmarkStart w:id="188" w:name="refs"/>
    <w:bookmarkStart w:id="71" w:name="X04bea6dc81879086c9cec5e591858b2b51b8ced"/>
    <w:p>
      <w:pPr>
        <w:pStyle w:val="Bibliography"/>
      </w:pPr>
      <w:r>
        <w:t xml:space="preserve">Aguilera, A., Alegria Zufia, J., Bas Conn, L., Gurlit, L., Śliwińska-Wilczewska, S., Budzałek, G., Lundin, D., Pinhassi, J., Legrand, C., and Farnelid, H.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(9): 1674–1695. doi:</w:t>
      </w:r>
      <w:hyperlink r:id="rId70">
        <w:r>
          <w:rPr>
            <w:rStyle w:val="Hyperlink"/>
          </w:rPr>
          <w:t xml:space="preserve">10.1111/1462-2920.16384</w:t>
        </w:r>
      </w:hyperlink>
      <w:r>
        <w:t xml:space="preserve">.</w:t>
      </w:r>
    </w:p>
    <w:bookmarkEnd w:id="71"/>
    <w:bookmarkStart w:id="73" w:name="Xd7f638cefb50c16df23fe2519c48a139a73b0c3"/>
    <w:p>
      <w:pPr>
        <w:pStyle w:val="Bibliography"/>
      </w:pPr>
      <w:r>
        <w:t xml:space="preserve">Allahverdiyeva, Y., Isojärvi, J., Zhang, P., and Aro, E.-M. 2015.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w:t>
      </w:r>
      <w:r>
        <w:t xml:space="preserve"> </w:t>
      </w:r>
      <w:r>
        <w:rPr>
          <w:bCs/>
          <w:b/>
        </w:rPr>
        <w:t xml:space="preserve">5</w:t>
      </w:r>
      <w:r>
        <w:t xml:space="preserve">(1): 716–743. Multidisciplinary Digital Publishing Institute. doi:</w:t>
      </w:r>
      <w:hyperlink r:id="rId72">
        <w:r>
          <w:rPr>
            <w:rStyle w:val="Hyperlink"/>
          </w:rPr>
          <w:t xml:space="preserve">10.3390/life5010716</w:t>
        </w:r>
      </w:hyperlink>
      <w:r>
        <w:t xml:space="preserve">.</w:t>
      </w:r>
    </w:p>
    <w:bookmarkEnd w:id="73"/>
    <w:bookmarkStart w:id="75" w:name="Xc2e67003ba31ecb4b981e7bf6520c300368fc36"/>
    <w:p>
      <w:pPr>
        <w:pStyle w:val="Bibliography"/>
      </w:pPr>
      <w:r>
        <w:t xml:space="preserve">Andersson, B., Salter, A.H., Virgin, I., Vass, I., and Styring, S. 1992. Photodamage to photosystem</w:t>
      </w:r>
      <w:r>
        <w:t xml:space="preserve"> </w:t>
      </w:r>
      <w:r>
        <w:t xml:space="preserve">II</w:t>
      </w:r>
      <w:r>
        <w:t xml:space="preserve"> </w:t>
      </w:r>
      <w:r>
        <w:t xml:space="preserve">- primary and secondary events. Journal of Photochemistry and Photobiology B: Biology</w:t>
      </w:r>
      <w:r>
        <w:t xml:space="preserve"> </w:t>
      </w:r>
      <w:r>
        <w:rPr>
          <w:bCs/>
          <w:b/>
        </w:rPr>
        <w:t xml:space="preserve">15</w:t>
      </w:r>
      <w:r>
        <w:t xml:space="preserve">(1): 15–31. doi:</w:t>
      </w:r>
      <w:hyperlink r:id="rId74">
        <w:r>
          <w:rPr>
            <w:rStyle w:val="Hyperlink"/>
          </w:rPr>
          <w:t xml:space="preserve">10.1016/1011-1344(92)87003-R</w:t>
        </w:r>
      </w:hyperlink>
      <w:r>
        <w:t xml:space="preserve">.</w:t>
      </w:r>
    </w:p>
    <w:bookmarkEnd w:id="75"/>
    <w:bookmarkStart w:id="77" w:name="X7a61e8301ea1be8b48319bac4cc8736ca470acf"/>
    <w:p>
      <w:pPr>
        <w:pStyle w:val="Bibliography"/>
      </w:pPr>
      <w:r>
        <w:t xml:space="preserve">Bagby, S.C., and Chisholm, S.W. 2015. Response of</w:t>
      </w:r>
      <w:r>
        <w:t xml:space="preserve"> </w:t>
      </w:r>
      <w: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w:t>
      </w:r>
      <w:r>
        <w:t xml:space="preserve"> </w:t>
      </w:r>
      <w:r>
        <w:rPr>
          <w:bCs/>
          <w:b/>
        </w:rPr>
        <w:t xml:space="preserve">9</w:t>
      </w:r>
      <w:r>
        <w:t xml:space="preserve">(10): 2232–2245. doi:</w:t>
      </w:r>
      <w:hyperlink r:id="rId76">
        <w:r>
          <w:rPr>
            <w:rStyle w:val="Hyperlink"/>
          </w:rPr>
          <w:t xml:space="preserve">10.1038/ismej.2015.36</w:t>
        </w:r>
      </w:hyperlink>
      <w:r>
        <w:t xml:space="preserve">.</w:t>
      </w:r>
    </w:p>
    <w:bookmarkEnd w:id="77"/>
    <w:bookmarkStart w:id="7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8">
        <w:r>
          <w:rPr>
            <w:rStyle w:val="Hyperlink"/>
          </w:rPr>
          <w:t xml:space="preserve">10.1083/jcb.58.2.419</w:t>
        </w:r>
      </w:hyperlink>
      <w:r>
        <w:t xml:space="preserve">.</w:t>
      </w:r>
    </w:p>
    <w:bookmarkEnd w:id="79"/>
    <w:bookmarkStart w:id="81" w:name="X82753b92b79158a28c12d01da93821b15132e4d"/>
    <w:p>
      <w:pPr>
        <w:pStyle w:val="Bibliography"/>
      </w:pPr>
      <w:r>
        <w:t xml:space="preserve">Berthold, M., and Schumann, R. 2020. Phosphorus</w:t>
      </w:r>
      <w:r>
        <w:t xml:space="preserve"> </w:t>
      </w:r>
      <w:r>
        <w:t xml:space="preserve">Dynamics</w:t>
      </w:r>
      <w:r>
        <w:t xml:space="preserve"> </w:t>
      </w:r>
      <w:r>
        <w:t xml:space="preserve">in a</w:t>
      </w:r>
      <w:r>
        <w:t xml:space="preserve"> </w:t>
      </w:r>
      <w:r>
        <w:t xml:space="preserve">Eutrophic Lagoon</w:t>
      </w:r>
      <w:r>
        <w:t xml:space="preserve">:</w:t>
      </w:r>
      <w:r>
        <w:t xml:space="preserve"> </w:t>
      </w:r>
      <w:r>
        <w:t xml:space="preserve">Uptake</w:t>
      </w:r>
      <w:r>
        <w:t xml:space="preserve"> </w:t>
      </w:r>
      <w:r>
        <w:t xml:space="preserve">and</w:t>
      </w:r>
      <w:r>
        <w:t xml:space="preserve"> </w:t>
      </w:r>
      <w:r>
        <w:t xml:space="preserve">Utilization</w:t>
      </w:r>
      <w:r>
        <w:t xml:space="preserve"> </w:t>
      </w:r>
      <w:r>
        <w:t xml:space="preserve">of</w:t>
      </w:r>
      <w:r>
        <w:t xml:space="preserve"> </w:t>
      </w:r>
      <w:r>
        <w:t xml:space="preserve">Nutrient Pulses</w:t>
      </w:r>
      <w:r>
        <w:t xml:space="preserve"> </w:t>
      </w:r>
      <w:r>
        <w:t xml:space="preserve">by</w:t>
      </w:r>
      <w:r>
        <w:t xml:space="preserve"> </w:t>
      </w:r>
      <w:r>
        <w:t xml:space="preserve">Phytoplankton</w:t>
      </w:r>
      <w:r>
        <w:t xml:space="preserve">. Frontiers in Marine Science</w:t>
      </w:r>
      <w:r>
        <w:t xml:space="preserve"> </w:t>
      </w:r>
      <w:r>
        <w:rPr>
          <w:bCs/>
          <w:b/>
        </w:rPr>
        <w:t xml:space="preserve">7</w:t>
      </w:r>
      <w:r>
        <w:t xml:space="preserve">. Frontiers. doi:</w:t>
      </w:r>
      <w:hyperlink r:id="rId80">
        <w:r>
          <w:rPr>
            <w:rStyle w:val="Hyperlink"/>
          </w:rPr>
          <w:t xml:space="preserve">10.3389/fmars.2020.00281</w:t>
        </w:r>
      </w:hyperlink>
      <w:r>
        <w:t xml:space="preserve">.</w:t>
      </w:r>
    </w:p>
    <w:bookmarkEnd w:id="81"/>
    <w:bookmarkStart w:id="82"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82"/>
    <w:bookmarkStart w:id="84"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83">
        <w:r>
          <w:rPr>
            <w:rStyle w:val="Hyperlink"/>
          </w:rPr>
          <w:t xml:space="preserve">10.3389/fmars.2019.00319</w:t>
        </w:r>
      </w:hyperlink>
      <w:r>
        <w:t xml:space="preserve">.</w:t>
      </w:r>
    </w:p>
    <w:bookmarkEnd w:id="84"/>
    <w:bookmarkStart w:id="86"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85">
        <w:r>
          <w:rPr>
            <w:rStyle w:val="Hyperlink"/>
          </w:rPr>
          <w:t xml:space="preserve">10.1126/science.aam7240</w:t>
        </w:r>
      </w:hyperlink>
      <w:r>
        <w:t xml:space="preserve">.</w:t>
      </w:r>
    </w:p>
    <w:bookmarkEnd w:id="86"/>
    <w:bookmarkStart w:id="88" w:name="X795f5978ac3fd8b837891ccaf32306c03c224c3"/>
    <w:p>
      <w:pPr>
        <w:pStyle w:val="Bibliography"/>
      </w:pPr>
      <w:r>
        <w:t xml:space="preserve">Callieri, C., Cabello-Yeves, P.J., and Bertoni, F. 2022. The</w:t>
      </w:r>
      <w:r>
        <w:t xml:space="preserve"> </w:t>
      </w:r>
      <w:r>
        <w:t xml:space="preserve">“</w:t>
      </w:r>
      <w:r>
        <w:t xml:space="preserve">Dark Side</w:t>
      </w:r>
      <w:r>
        <w:t xml:space="preserve">”</w:t>
      </w:r>
      <w:r>
        <w:t xml:space="preserve"> </w:t>
      </w:r>
      <w:r>
        <w:t xml:space="preserve">of</w:t>
      </w:r>
      <w:r>
        <w:t xml:space="preserve"> </w:t>
      </w:r>
      <w:r>
        <w:t xml:space="preserve">Picocyanobacteria</w:t>
      </w:r>
      <w:r>
        <w:t xml:space="preserve">:</w:t>
      </w:r>
      <w:r>
        <w:t xml:space="preserve"> </w:t>
      </w:r>
      <w:r>
        <w:t xml:space="preserve">Life</w:t>
      </w:r>
      <w:r>
        <w:t xml:space="preserve"> </w:t>
      </w:r>
      <w:r>
        <w:t xml:space="preserve">as</w:t>
      </w:r>
      <w:r>
        <w:t xml:space="preserve"> </w:t>
      </w:r>
      <w:r>
        <w:t xml:space="preserve">We Do Not Know It</w:t>
      </w:r>
      <w:r>
        <w:t xml:space="preserve"> </w:t>
      </w:r>
      <w:r>
        <w:t xml:space="preserve">(</w:t>
      </w:r>
      <w:r>
        <w:t xml:space="preserve">Yet</w:t>
      </w:r>
      <w:r>
        <w:t xml:space="preserve">). Microorganisms</w:t>
      </w:r>
      <w:r>
        <w:t xml:space="preserve"> </w:t>
      </w:r>
      <w:r>
        <w:rPr>
          <w:bCs/>
          <w:b/>
        </w:rPr>
        <w:t xml:space="preserve">10</w:t>
      </w:r>
      <w:r>
        <w:t xml:space="preserve">(3): 546. Multidisciplinary Digital Publishing Institute. doi:</w:t>
      </w:r>
      <w:hyperlink r:id="rId87">
        <w:r>
          <w:rPr>
            <w:rStyle w:val="Hyperlink"/>
          </w:rPr>
          <w:t xml:space="preserve">10.3390/microorganisms10030546</w:t>
        </w:r>
      </w:hyperlink>
      <w:r>
        <w:t xml:space="preserve">.</w:t>
      </w:r>
    </w:p>
    <w:bookmarkEnd w:id="88"/>
    <w:bookmarkStart w:id="90" w:name="X9ec414e7a9380b9502c3108263bc3730b81df1a"/>
    <w:p>
      <w:pPr>
        <w:pStyle w:val="Bibliography"/>
      </w:pPr>
      <w:r>
        <w:t xml:space="preserve">Campbell, D. 1996. Complementary chromatic adaptation alters photosynthetic strategies in the cyanobacterium</w:t>
      </w:r>
      <w:r>
        <w:t xml:space="preserve"> </w:t>
      </w:r>
      <w:r>
        <w:t xml:space="preserve">Calothrix</w:t>
      </w:r>
      <w:r>
        <w:t xml:space="preserve">. Microbiology</w:t>
      </w:r>
      <w:r>
        <w:t xml:space="preserve"> </w:t>
      </w:r>
      <w:r>
        <w:rPr>
          <w:bCs/>
          <w:b/>
        </w:rPr>
        <w:t xml:space="preserve">142</w:t>
      </w:r>
      <w:r>
        <w:t xml:space="preserve">(5): 1255–1263. Microbiology Society,. doi:</w:t>
      </w:r>
      <w:hyperlink r:id="rId89">
        <w:r>
          <w:rPr>
            <w:rStyle w:val="Hyperlink"/>
          </w:rPr>
          <w:t xml:space="preserve">10.1099/13500872-142-5-1255</w:t>
        </w:r>
      </w:hyperlink>
      <w:r>
        <w:t xml:space="preserve">.</w:t>
      </w:r>
    </w:p>
    <w:bookmarkEnd w:id="90"/>
    <w:bookmarkStart w:id="92"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91">
        <w:r>
          <w:rPr>
            <w:rStyle w:val="Hyperlink"/>
          </w:rPr>
          <w:t xml:space="preserve">10.1034/j.1399-3054.1999.105420.x</w:t>
        </w:r>
      </w:hyperlink>
      <w:r>
        <w:t xml:space="preserve">.</w:t>
      </w:r>
    </w:p>
    <w:bookmarkEnd w:id="92"/>
    <w:bookmarkStart w:id="94" w:name="Xaae875a415f0e09d4fe65c7c37aee45e9bb3dcb"/>
    <w:p>
      <w:pPr>
        <w:pStyle w:val="Bibliography"/>
      </w:pPr>
      <w:r>
        <w:t xml:space="preserve">Campbell, D., and Oquist, G. 1996. Predicting</w:t>
      </w:r>
      <w:r>
        <w:t xml:space="preserve"> </w:t>
      </w:r>
      <w:r>
        <w:t xml:space="preserve">Light Acclimation</w:t>
      </w:r>
      <w:r>
        <w:t xml:space="preserve"> </w:t>
      </w:r>
      <w:r>
        <w:t xml:space="preserve">in</w:t>
      </w:r>
      <w:r>
        <w:t xml:space="preserve"> </w:t>
      </w:r>
      <w:r>
        <w:t xml:space="preserve">Cyanobacteria</w:t>
      </w:r>
      <w:r>
        <w:t xml:space="preserve"> </w:t>
      </w:r>
      <w:r>
        <w:t xml:space="preserve">from</w:t>
      </w:r>
      <w:r>
        <w:t xml:space="preserve"> </w:t>
      </w:r>
      <w:r>
        <w:t xml:space="preserve">Nonphotochemical Quenching</w:t>
      </w:r>
      <w:r>
        <w:t xml:space="preserve"> </w:t>
      </w:r>
      <w:r>
        <w:t xml:space="preserve">of</w:t>
      </w:r>
      <w:r>
        <w:t xml:space="preserve"> </w:t>
      </w:r>
      <w:r>
        <w:t xml:space="preserve">Photosystem II Fluorescence</w:t>
      </w:r>
      <w:r>
        <w:t xml:space="preserve">,</w:t>
      </w:r>
      <w:r>
        <w:t xml:space="preserve"> </w:t>
      </w:r>
      <w:r>
        <w:t xml:space="preserve">Which Reflects State Transitions</w:t>
      </w:r>
      <w:r>
        <w:t xml:space="preserve"> </w:t>
      </w:r>
      <w:r>
        <w:t xml:space="preserve">in</w:t>
      </w:r>
      <w:r>
        <w:t xml:space="preserve"> </w:t>
      </w:r>
      <w:r>
        <w:t xml:space="preserve">These Organisms</w:t>
      </w:r>
      <w:r>
        <w:t xml:space="preserve">. Plant Physiology</w:t>
      </w:r>
      <w:r>
        <w:t xml:space="preserve"> </w:t>
      </w:r>
      <w:r>
        <w:rPr>
          <w:bCs/>
          <w:b/>
        </w:rPr>
        <w:t xml:space="preserve">111</w:t>
      </w:r>
      <w:r>
        <w:t xml:space="preserve">(4): 1293–1298. doi:</w:t>
      </w:r>
      <w:hyperlink r:id="rId93">
        <w:r>
          <w:rPr>
            <w:rStyle w:val="Hyperlink"/>
          </w:rPr>
          <w:t xml:space="preserve">10.1104/pp.111.4.1293</w:t>
        </w:r>
      </w:hyperlink>
      <w:r>
        <w:t xml:space="preserve">.</w:t>
      </w:r>
    </w:p>
    <w:bookmarkEnd w:id="94"/>
    <w:bookmarkStart w:id="96" w:name="ref-doreGlobalPhylogeographyMarine2022"/>
    <w:p>
      <w:pPr>
        <w:pStyle w:val="Bibliography"/>
      </w:pPr>
      <w:r>
        <w:t xml:space="preserve">Doré, H., Leconte, J., Guyet, U., Breton, S., Farrant, G.K., Demory, D., Ratin, M., Hoebeke, M., Corre, E., Pitt, F.D., Ostrowski, M., Scanlan, D.J., Partensky, F., Six, C., and Garczarek, L. 2022. Global</w:t>
      </w:r>
      <w:r>
        <w:t xml:space="preserve"> </w:t>
      </w:r>
      <w:r>
        <w:t xml:space="preserve">Phylogeography</w:t>
      </w:r>
      <w:r>
        <w:t xml:space="preserve"> </w:t>
      </w:r>
      <w:r>
        <w:t xml:space="preserve">of</w:t>
      </w:r>
      <w:r>
        <w:t xml:space="preserve"> </w:t>
      </w:r>
      <w:r>
        <w:t xml:space="preserve">Marine Synechococcus</w:t>
      </w:r>
      <w:r>
        <w:t xml:space="preserve"> </w:t>
      </w:r>
      <w:r>
        <w:t xml:space="preserve">in</w:t>
      </w:r>
      <w:r>
        <w:t xml:space="preserve"> </w:t>
      </w:r>
      <w:r>
        <w:t xml:space="preserve">Coastal Areas Reveals Strong Community Shifts</w:t>
      </w:r>
      <w:r>
        <w:t xml:space="preserve">. mSystems</w:t>
      </w:r>
      <w:r>
        <w:t xml:space="preserve"> </w:t>
      </w:r>
      <w:r>
        <w:rPr>
          <w:bCs/>
          <w:b/>
        </w:rPr>
        <w:t xml:space="preserve">7</w:t>
      </w:r>
      <w:r>
        <w:t xml:space="preserve">(6): e00656–22. American Society for Microbiology. doi:</w:t>
      </w:r>
      <w:hyperlink r:id="rId95">
        <w:r>
          <w:rPr>
            <w:rStyle w:val="Hyperlink"/>
          </w:rPr>
          <w:t xml:space="preserve">10.1128/msystems.00656-22</w:t>
        </w:r>
      </w:hyperlink>
      <w:r>
        <w:t xml:space="preserve">.</w:t>
      </w:r>
    </w:p>
    <w:bookmarkEnd w:id="96"/>
    <w:bookmarkStart w:id="98" w:name="ref-efimovaInfluenceLightDifferent2020"/>
    <w:p>
      <w:pPr>
        <w:pStyle w:val="Bibliography"/>
      </w:pPr>
      <w:r>
        <w:t xml:space="preserve">Efimova, T.V., Churilova, T.Ya., and Mukhanov, V.S. 2020. The</w:t>
      </w:r>
      <w:r>
        <w:t xml:space="preserve"> </w:t>
      </w:r>
      <w:r>
        <w:t xml:space="preserve">Influence</w:t>
      </w:r>
      <w:r>
        <w:t xml:space="preserve"> </w:t>
      </w:r>
      <w:r>
        <w:t xml:space="preserve">of</w:t>
      </w:r>
      <w:r>
        <w:t xml:space="preserve"> </w:t>
      </w:r>
      <w:r>
        <w:t xml:space="preserve">Light</w:t>
      </w:r>
      <w:r>
        <w:t xml:space="preserve"> </w:t>
      </w:r>
      <w:r>
        <w:t xml:space="preserve">of</w:t>
      </w:r>
      <w:r>
        <w:t xml:space="preserve"> </w:t>
      </w:r>
      <w:r>
        <w:t xml:space="preserve">Different Spectral Qualities</w:t>
      </w:r>
      <w:r>
        <w:t xml:space="preserve"> </w:t>
      </w:r>
      <w:r>
        <w:t xml:space="preserve">on the</w:t>
      </w:r>
      <w:r>
        <w:t xml:space="preserve"> </w:t>
      </w:r>
      <w:r>
        <w:t xml:space="preserve">Photosynthetic Characteristics</w:t>
      </w:r>
      <w:r>
        <w:t xml:space="preserve"> </w:t>
      </w:r>
      <w:r>
        <w:t xml:space="preserve">of</w:t>
      </w:r>
      <w:r>
        <w:t xml:space="preserve"> </w:t>
      </w:r>
      <w:r>
        <w:t xml:space="preserve">C-Phycocyanine-Containing Cyanobacteria Synechococcus</w:t>
      </w:r>
      <w:r>
        <w:t xml:space="preserve"> </w:t>
      </w:r>
      <w:r>
        <w:t xml:space="preserve">sp.</w:t>
      </w:r>
      <w:r>
        <w:t xml:space="preserve"> </w:t>
      </w:r>
      <w:r>
        <w:t xml:space="preserve">WH5701</w:t>
      </w:r>
      <w:r>
        <w:t xml:space="preserve">. Russian Journal of Marine Biology</w:t>
      </w:r>
      <w:r>
        <w:t xml:space="preserve"> </w:t>
      </w:r>
      <w:r>
        <w:rPr>
          <w:bCs/>
          <w:b/>
        </w:rPr>
        <w:t xml:space="preserve">46</w:t>
      </w:r>
      <w:r>
        <w:t xml:space="preserve">(2): 105–112. doi:</w:t>
      </w:r>
      <w:hyperlink r:id="rId97">
        <w:r>
          <w:rPr>
            <w:rStyle w:val="Hyperlink"/>
          </w:rPr>
          <w:t xml:space="preserve">10.1134/S1063074020020042</w:t>
        </w:r>
      </w:hyperlink>
      <w:r>
        <w:t xml:space="preserve">.</w:t>
      </w:r>
    </w:p>
    <w:bookmarkEnd w:id="98"/>
    <w:bookmarkStart w:id="99"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99"/>
    <w:bookmarkStart w:id="101" w:name="X187612173d79faa37cc60e3f267d5bec93e69ff"/>
    <w:p>
      <w:pPr>
        <w:pStyle w:val="Bibliography"/>
      </w:pPr>
      <w:r>
        <w:t xml:space="preserve">Falkowski, P.G., Katz, M.E., Knoll, A.H., Quigg, A., Raven, J.A., Schofield, O., and Taylor, F.J.R. 2004. The</w:t>
      </w:r>
      <w:r>
        <w:t xml:space="preserve"> </w:t>
      </w:r>
      <w:r>
        <w:t xml:space="preserve">Evolution</w:t>
      </w:r>
      <w:r>
        <w:t xml:space="preserve"> </w:t>
      </w:r>
      <w:r>
        <w:t xml:space="preserve">of</w:t>
      </w:r>
      <w:r>
        <w:t xml:space="preserve"> </w:t>
      </w:r>
      <w:r>
        <w:t xml:space="preserve">Modern Eukaryotic Phytoplankton</w:t>
      </w:r>
      <w:r>
        <w:t xml:space="preserve">. Science</w:t>
      </w:r>
      <w:r>
        <w:t xml:space="preserve"> </w:t>
      </w:r>
      <w:r>
        <w:rPr>
          <w:bCs/>
          <w:b/>
        </w:rPr>
        <w:t xml:space="preserve">305</w:t>
      </w:r>
      <w:r>
        <w:t xml:space="preserve">(5682): 354–360. American Association for the Advancement of Science. doi:</w:t>
      </w:r>
      <w:hyperlink r:id="rId100">
        <w:r>
          <w:rPr>
            <w:rStyle w:val="Hyperlink"/>
          </w:rPr>
          <w:t xml:space="preserve">10.1126/science.1095964</w:t>
        </w:r>
      </w:hyperlink>
      <w:r>
        <w:t xml:space="preserve">.</w:t>
      </w:r>
    </w:p>
    <w:bookmarkEnd w:id="101"/>
    <w:bookmarkStart w:id="102"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102"/>
    <w:bookmarkStart w:id="104" w:name="ref-finkelLightAbsorptionSize2001"/>
    <w:p>
      <w:pPr>
        <w:pStyle w:val="Bibliography"/>
      </w:pPr>
      <w:r>
        <w:t xml:space="preserve">Finkel, Z.V. 2001. Light absorption and size scaling of light-limited metabolism in marine diatoms. Limnology and Oceanography</w:t>
      </w:r>
      <w:r>
        <w:t xml:space="preserve"> </w:t>
      </w:r>
      <w:r>
        <w:rPr>
          <w:bCs/>
          <w:b/>
        </w:rPr>
        <w:t xml:space="preserve">46</w:t>
      </w:r>
      <w:r>
        <w:t xml:space="preserve">(1): 86–94. doi:</w:t>
      </w:r>
      <w:hyperlink r:id="rId103">
        <w:r>
          <w:rPr>
            <w:rStyle w:val="Hyperlink"/>
          </w:rPr>
          <w:t xml:space="preserve">10.4319/lo.2001.46.1.0086</w:t>
        </w:r>
      </w:hyperlink>
      <w:r>
        <w:t xml:space="preserve">.</w:t>
      </w:r>
    </w:p>
    <w:bookmarkEnd w:id="104"/>
    <w:bookmarkStart w:id="106"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105">
        <w:r>
          <w:rPr>
            <w:rStyle w:val="Hyperlink"/>
          </w:rPr>
          <w:t xml:space="preserve">10.1073/pnas.1307701110</w:t>
        </w:r>
      </w:hyperlink>
      <w:r>
        <w:t xml:space="preserve">.</w:t>
      </w:r>
    </w:p>
    <w:bookmarkEnd w:id="106"/>
    <w:bookmarkStart w:id="108" w:name="X3925175a45d429ca43be2dbf4dc4c87f570e916"/>
    <w:p>
      <w:pPr>
        <w:pStyle w:val="Bibliography"/>
      </w:pPr>
      <w:r>
        <w:t xml:space="preserve">Gorbunov, M.Y., Kuzminov, F.I., Fadeev, V.V., Kim, J.D., and Falkowski, P.G. 2011. A kinetic model of non-photochemical quenching in cyanobacteria. Biochimica et Biophysica Acta (BBA) - Bioenergetics</w:t>
      </w:r>
      <w:r>
        <w:t xml:space="preserve"> </w:t>
      </w:r>
      <w:r>
        <w:rPr>
          <w:bCs/>
          <w:b/>
        </w:rPr>
        <w:t xml:space="preserve">1807</w:t>
      </w:r>
      <w:r>
        <w:t xml:space="preserve">(12): 1591–1599. doi:</w:t>
      </w:r>
      <w:hyperlink r:id="rId107">
        <w:r>
          <w:rPr>
            <w:rStyle w:val="Hyperlink"/>
          </w:rPr>
          <w:t xml:space="preserve">10.1016/j.bbabio.2011.08.009</w:t>
        </w:r>
      </w:hyperlink>
      <w:r>
        <w:t xml:space="preserve">.</w:t>
      </w:r>
    </w:p>
    <w:bookmarkEnd w:id="108"/>
    <w:bookmarkStart w:id="110" w:name="ref-grebertLightColorAcclimation2018a"/>
    <w:p>
      <w:pPr>
        <w:pStyle w:val="Bibliography"/>
      </w:pPr>
      <w:r>
        <w:t xml:space="preserve">Grébert, T., Doré, H., Partensky, F., Farrant, G.K., Boss, E.S., Picheral, M., Guidi, L., Pesant, S., Scanlan, D.J., Wincker, P., Acinas, S.G., Kehoe, D.M., and Garczarek, L.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(9): E2010–E2019. Proceedings of the National Academy of Sciences. doi:</w:t>
      </w:r>
      <w:hyperlink r:id="rId109">
        <w:r>
          <w:rPr>
            <w:rStyle w:val="Hyperlink"/>
          </w:rPr>
          <w:t xml:space="preserve">10.1073/pnas.1717069115</w:t>
        </w:r>
      </w:hyperlink>
      <w:r>
        <w:t xml:space="preserve">.</w:t>
      </w:r>
    </w:p>
    <w:bookmarkEnd w:id="110"/>
    <w:bookmarkStart w:id="112" w:name="X9ea472b71428c7317c2bb023959aee46e4a5b66"/>
    <w:p>
      <w:pPr>
        <w:pStyle w:val="Bibliography"/>
      </w:pPr>
      <w:r>
        <w:t xml:space="preserve">Grossman, A.R., Mackey, K.R.M., and Bailey, S. 2010. A</w:t>
      </w:r>
      <w:r>
        <w:t xml:space="preserve"> </w:t>
      </w:r>
      <w:r>
        <w:t xml:space="preserve">Perspective</w:t>
      </w:r>
      <w:r>
        <w:t xml:space="preserve"> </w:t>
      </w:r>
      <w:r>
        <w:t xml:space="preserve">on</w:t>
      </w:r>
      <w:r>
        <w:t xml:space="preserve"> </w:t>
      </w:r>
      <w:r>
        <w:t xml:space="preserve">Photosynthesis</w:t>
      </w:r>
      <w:r>
        <w:t xml:space="preserve"> </w:t>
      </w:r>
      <w:r>
        <w:t xml:space="preserve">in the</w:t>
      </w:r>
      <w:r>
        <w:t xml:space="preserve"> </w:t>
      </w:r>
      <w:r>
        <w:t xml:space="preserve">Oligotrophic Oceans</w:t>
      </w:r>
      <w:r>
        <w:t xml:space="preserve">:</w:t>
      </w:r>
      <w:r>
        <w:t xml:space="preserve"> </w:t>
      </w:r>
      <w:r>
        <w:t xml:space="preserve">Hypotheses Concerning Alternate Routes</w:t>
      </w:r>
      <w:r>
        <w:t xml:space="preserve"> </w:t>
      </w:r>
      <w:r>
        <w:t xml:space="preserve">of</w:t>
      </w:r>
      <w:r>
        <w:t xml:space="preserve"> </w:t>
      </w:r>
      <w:r>
        <w:t xml:space="preserve">Electron Flow1</w:t>
      </w:r>
      <w:r>
        <w:t xml:space="preserve">. Journal of Phycology</w:t>
      </w:r>
      <w:r>
        <w:t xml:space="preserve"> </w:t>
      </w:r>
      <w:r>
        <w:rPr>
          <w:bCs/>
          <w:b/>
        </w:rPr>
        <w:t xml:space="preserve">46</w:t>
      </w:r>
      <w:r>
        <w:t xml:space="preserve">(4): 629–634. doi:</w:t>
      </w:r>
      <w:hyperlink r:id="rId111">
        <w:r>
          <w:rPr>
            <w:rStyle w:val="Hyperlink"/>
          </w:rPr>
          <w:t xml:space="preserve">10.1111/j.1529-8817.2010.00852.x</w:t>
        </w:r>
      </w:hyperlink>
      <w:r>
        <w:t xml:space="preserve">.</w:t>
      </w:r>
    </w:p>
    <w:bookmarkEnd w:id="112"/>
    <w:bookmarkStart w:id="114"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113">
        <w:r>
          <w:rPr>
            <w:rStyle w:val="Hyperlink"/>
          </w:rPr>
          <w:t xml:space="preserve">10.1007/978-1-4615-8714-9_3</w:t>
        </w:r>
      </w:hyperlink>
      <w:r>
        <w:t xml:space="preserve">.</w:t>
      </w:r>
    </w:p>
    <w:bookmarkEnd w:id="114"/>
    <w:bookmarkStart w:id="116" w:name="ref-hakalaEvidenceRoleOxygenevolving2005"/>
    <w:p>
      <w:pPr>
        <w:pStyle w:val="Bibliography"/>
      </w:pPr>
      <w:r>
        <w:t xml:space="preserve">Hakala, M., Tuominen, I., Keränen, M., Tyystjärvi, T., and Tyystjärvi, E. 2005. Evidence for the role of the oxygen-evolving manganese complex in photoinhibition of</w:t>
      </w:r>
      <w:r>
        <w:t xml:space="preserve"> </w:t>
      </w:r>
      <w:r>
        <w:t xml:space="preserve">Photosystem II</w:t>
      </w:r>
      <w:r>
        <w:t xml:space="preserve">. Biochimica et Biophysica Acta (BBA) - Bioenergetics</w:t>
      </w:r>
      <w:r>
        <w:t xml:space="preserve"> </w:t>
      </w:r>
      <w:r>
        <w:rPr>
          <w:bCs/>
          <w:b/>
        </w:rPr>
        <w:t xml:space="preserve">1706</w:t>
      </w:r>
      <w:r>
        <w:t xml:space="preserve">(1): 68–80. doi:</w:t>
      </w:r>
      <w:hyperlink r:id="rId115">
        <w:r>
          <w:rPr>
            <w:rStyle w:val="Hyperlink"/>
          </w:rPr>
          <w:t xml:space="preserve">10.1016/j.bbabio.2004.09.001</w:t>
        </w:r>
      </w:hyperlink>
      <w:r>
        <w:t xml:space="preserve">.</w:t>
      </w:r>
    </w:p>
    <w:bookmarkEnd w:id="116"/>
    <w:bookmarkStart w:id="117"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117"/>
    <w:bookmarkStart w:id="118" w:name="X2f3f2ef9f90eda6a1a18e84d8544e5d48a1f704"/>
    <w:p>
      <w:pPr>
        <w:pStyle w:val="Bibliography"/>
      </w:pPr>
      <w:r>
        <w:t xml:space="preserve">Harrison, W.G., and Platt, T. 1986. Photosynthesis-irradiance relationships in polar and temperate phytoplankton populations. Polar biology</w:t>
      </w:r>
      <w:r>
        <w:t xml:space="preserve"> </w:t>
      </w:r>
      <w:r>
        <w:rPr>
          <w:bCs/>
          <w:b/>
        </w:rPr>
        <w:t xml:space="preserve">5</w:t>
      </w:r>
      <w:r>
        <w:t xml:space="preserve">: 153–164. Springer. [accessed 15 March 2024].</w:t>
      </w:r>
    </w:p>
    <w:bookmarkEnd w:id="118"/>
    <w:bookmarkStart w:id="119" w:name="ref-haverkampShadesRedGreen2008"/>
    <w:p>
      <w:pPr>
        <w:pStyle w:val="Bibliography"/>
      </w:pPr>
      <w:r>
        <w:t xml:space="preserve">Haverkamp, T.H.A. 2008. Shades of red and green : The colorful diversity and ecology of picocyanobacteria in the</w:t>
      </w:r>
      <w:r>
        <w:t xml:space="preserve"> </w:t>
      </w:r>
      <w:r>
        <w:t xml:space="preserve">Baltic Sea</w:t>
      </w:r>
      <w:r>
        <w:t xml:space="preserve">.</w:t>
      </w:r>
      <w:r>
        <w:t xml:space="preserve"> </w:t>
      </w:r>
      <w:r>
        <w:t xml:space="preserve">YersekeNetherlands Institute of Ecology (NIOO) - Royal Netherlands Academy of Arts and Sciences</w:t>
      </w:r>
      <w:r>
        <w:t xml:space="preserve">. [accessed 3 July 2024].</w:t>
      </w:r>
    </w:p>
    <w:bookmarkEnd w:id="119"/>
    <w:bookmarkStart w:id="121"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120">
        <w:r>
          <w:rPr>
            <w:rStyle w:val="Hyperlink"/>
          </w:rPr>
          <w:t xml:space="preserve">10.1038/ismej.2008.118</w:t>
        </w:r>
      </w:hyperlink>
      <w:r>
        <w:t xml:space="preserve">.</w:t>
      </w:r>
    </w:p>
    <w:bookmarkEnd w:id="121"/>
    <w:bookmarkStart w:id="123"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122">
        <w:r>
          <w:rPr>
            <w:rStyle w:val="Hyperlink"/>
          </w:rPr>
          <w:t xml:space="preserve">10.1021/acs.est.8b03488</w:t>
        </w:r>
      </w:hyperlink>
      <w:r>
        <w:t xml:space="preserve">.</w:t>
      </w:r>
    </w:p>
    <w:bookmarkEnd w:id="123"/>
    <w:bookmarkStart w:id="125"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124">
        <w:r>
          <w:rPr>
            <w:rStyle w:val="Hyperlink"/>
          </w:rPr>
          <w:t xml:space="preserve">10.1016/j.jphotobiol.2005.10.002</w:t>
        </w:r>
      </w:hyperlink>
      <w:r>
        <w:t xml:space="preserve">.</w:t>
      </w:r>
    </w:p>
    <w:bookmarkEnd w:id="125"/>
    <w:bookmarkStart w:id="127" w:name="ref-keelingOceanDeoxygenationWarming2010"/>
    <w:p>
      <w:pPr>
        <w:pStyle w:val="Bibliography"/>
      </w:pPr>
      <w:r>
        <w:t xml:space="preserve">Keeling, R.F., Körtzinger, A., and Gruber, N. 2010. Ocean</w:t>
      </w:r>
      <w:r>
        <w:t xml:space="preserve"> </w:t>
      </w:r>
      <w:r>
        <w:t xml:space="preserve">Deoxygenation</w:t>
      </w:r>
      <w:r>
        <w:t xml:space="preserve"> </w:t>
      </w:r>
      <w:r>
        <w:t xml:space="preserve">in a</w:t>
      </w:r>
      <w:r>
        <w:t xml:space="preserve"> </w:t>
      </w:r>
      <w:r>
        <w:t xml:space="preserve">Warming World</w:t>
      </w:r>
      <w:r>
        <w:t xml:space="preserve">. Annual Review of Marine Science</w:t>
      </w:r>
      <w:r>
        <w:t xml:space="preserve"> </w:t>
      </w:r>
      <w:r>
        <w:rPr>
          <w:bCs/>
          <w:b/>
        </w:rPr>
        <w:t xml:space="preserve">2</w:t>
      </w:r>
      <w:r>
        <w:t xml:space="preserve">(Volume 2, 2010): 199–229. Annual Reviews. doi:</w:t>
      </w:r>
      <w:hyperlink r:id="rId126">
        <w:r>
          <w:rPr>
            <w:rStyle w:val="Hyperlink"/>
          </w:rPr>
          <w:t xml:space="preserve">10.1146/annurev.marine.010908.163855</w:t>
        </w:r>
      </w:hyperlink>
      <w:r>
        <w:t xml:space="preserve">.</w:t>
      </w:r>
    </w:p>
    <w:bookmarkEnd w:id="127"/>
    <w:bookmarkStart w:id="129" w:name="Xb29a3d0c87233f15b510d5c8c4e20a7d8a13670"/>
    <w:p>
      <w:pPr>
        <w:pStyle w:val="Bibliography"/>
      </w:pPr>
      <w:r>
        <w:t xml:space="preserve">Kirilovsky, D. 2015. Modulating energy arriving at photochemical reaction centers: Orange carotenoid protein-related photoprotection and state transitions. Photosynthesis Research</w:t>
      </w:r>
      <w:r>
        <w:t xml:space="preserve"> </w:t>
      </w:r>
      <w:r>
        <w:rPr>
          <w:bCs/>
          <w:b/>
        </w:rPr>
        <w:t xml:space="preserve">126</w:t>
      </w:r>
      <w:r>
        <w:t xml:space="preserve">(1): 3–17. doi:</w:t>
      </w:r>
      <w:hyperlink r:id="rId128">
        <w:r>
          <w:rPr>
            <w:rStyle w:val="Hyperlink"/>
          </w:rPr>
          <w:t xml:space="preserve">10.1007/s11120-014-0031-7</w:t>
        </w:r>
      </w:hyperlink>
      <w:r>
        <w:t xml:space="preserve">.</w:t>
      </w:r>
    </w:p>
    <w:bookmarkEnd w:id="129"/>
    <w:bookmarkStart w:id="131"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130">
        <w:r>
          <w:rPr>
            <w:rStyle w:val="Hyperlink"/>
          </w:rPr>
          <w:t xml:space="preserve">10.1016/S0005-2728(98)00135-2</w:t>
        </w:r>
      </w:hyperlink>
      <w:r>
        <w:t xml:space="preserve">.</w:t>
      </w:r>
    </w:p>
    <w:bookmarkEnd w:id="131"/>
    <w:bookmarkStart w:id="133" w:name="X01f87806f798b934b881286789bffccf955a89c"/>
    <w:p>
      <w:pPr>
        <w:pStyle w:val="Bibliography"/>
      </w:pPr>
      <w:r>
        <w:t xml:space="preserve">Larsson, J., Celepli, N., Ininbergs, K., Dupont, C.L., Yooseph, S., Bergman, B., and Ekman, M. 2014. Picocyanobacteria containing a novel pigment gene cluster dominate the brackish water</w:t>
      </w:r>
      <w:r>
        <w:t xml:space="preserve"> </w:t>
      </w:r>
      <w:r>
        <w:t xml:space="preserve">Baltic Sea</w:t>
      </w:r>
      <w:r>
        <w:t xml:space="preserve">. The ISME Journal</w:t>
      </w:r>
      <w:r>
        <w:t xml:space="preserve"> </w:t>
      </w:r>
      <w:r>
        <w:rPr>
          <w:bCs/>
          <w:b/>
        </w:rPr>
        <w:t xml:space="preserve">8</w:t>
      </w:r>
      <w:r>
        <w:t xml:space="preserve">(9): 1892–1903. doi:</w:t>
      </w:r>
      <w:hyperlink r:id="rId132">
        <w:r>
          <w:rPr>
            <w:rStyle w:val="Hyperlink"/>
          </w:rPr>
          <w:t xml:space="preserve">10.1038/ismej.2014.35</w:t>
        </w:r>
      </w:hyperlink>
      <w:r>
        <w:t xml:space="preserve">.</w:t>
      </w:r>
    </w:p>
    <w:bookmarkEnd w:id="133"/>
    <w:bookmarkStart w:id="134"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134"/>
    <w:bookmarkStart w:id="136" w:name="X83cf6de16fd6038882c50e534032b84d4840708"/>
    <w:p>
      <w:pPr>
        <w:pStyle w:val="Bibliography"/>
      </w:pPr>
      <w:r>
        <w:t xml:space="preserve">Llabrés, M., and Agustí, S. 2006. Picophytoplankton cell death induced by</w:t>
      </w:r>
      <w:r>
        <w:t xml:space="preserve"> </w:t>
      </w:r>
      <w:r>
        <w:t xml:space="preserve">UV</w:t>
      </w:r>
      <w:r>
        <w:t xml:space="preserve"> </w:t>
      </w:r>
      <w:r>
        <w:t xml:space="preserve">radiation:</w:t>
      </w:r>
      <w:r>
        <w:t xml:space="preserve"> </w:t>
      </w:r>
      <w:r>
        <w:t xml:space="preserve">Evidence</w:t>
      </w:r>
      <w:r>
        <w:t xml:space="preserve"> </w:t>
      </w:r>
      <w:r>
        <w:t xml:space="preserve">for oceanic</w:t>
      </w:r>
      <w:r>
        <w:t xml:space="preserve"> </w:t>
      </w:r>
      <w:r>
        <w:t xml:space="preserve">Atlantic</w:t>
      </w:r>
      <w:r>
        <w:t xml:space="preserve"> </w:t>
      </w:r>
      <w:r>
        <w:t xml:space="preserve">communities. Limnology and Oceanography</w:t>
      </w:r>
      <w:r>
        <w:t xml:space="preserve"> </w:t>
      </w:r>
      <w:r>
        <w:rPr>
          <w:bCs/>
          <w:b/>
        </w:rPr>
        <w:t xml:space="preserve">51</w:t>
      </w:r>
      <w:r>
        <w:t xml:space="preserve">(1): 21–29. doi:</w:t>
      </w:r>
      <w:hyperlink r:id="rId135">
        <w:r>
          <w:rPr>
            <w:rStyle w:val="Hyperlink"/>
          </w:rPr>
          <w:t xml:space="preserve">10.4319/lo.2006.51.1.0021</w:t>
        </w:r>
      </w:hyperlink>
      <w:r>
        <w:t xml:space="preserve">.</w:t>
      </w:r>
    </w:p>
    <w:bookmarkEnd w:id="136"/>
    <w:bookmarkStart w:id="138" w:name="X06db7850a541b1b5b9d3f8ff19c9dc65d4c4204"/>
    <w:p>
      <w:pPr>
        <w:pStyle w:val="Bibliography"/>
      </w:pPr>
      <w:r>
        <w:t xml:space="preserve">Llabrés, M., and Agustí, S. 2010. Effects of ultraviolet radiation on growth, cell death and the standing stock of</w:t>
      </w:r>
      <w:r>
        <w:t xml:space="preserve"> </w:t>
      </w:r>
      <w:r>
        <w:t xml:space="preserve">Antarctic</w:t>
      </w:r>
      <w:r>
        <w:t xml:space="preserve"> </w:t>
      </w:r>
      <w:r>
        <w:t xml:space="preserve">phytoplankton. Aquatic Microbial Ecology</w:t>
      </w:r>
      <w:r>
        <w:t xml:space="preserve"> </w:t>
      </w:r>
      <w:r>
        <w:rPr>
          <w:bCs/>
          <w:b/>
        </w:rPr>
        <w:t xml:space="preserve">59</w:t>
      </w:r>
      <w:r>
        <w:t xml:space="preserve">(2): 151–160. doi:</w:t>
      </w:r>
      <w:hyperlink r:id="rId137">
        <w:r>
          <w:rPr>
            <w:rStyle w:val="Hyperlink"/>
          </w:rPr>
          <w:t xml:space="preserve">10.3354/ame01392</w:t>
        </w:r>
      </w:hyperlink>
      <w:r>
        <w:t xml:space="preserve">.</w:t>
      </w:r>
    </w:p>
    <w:bookmarkEnd w:id="138"/>
    <w:bookmarkStart w:id="140" w:name="ref-luimstraBlueLightReduces2018"/>
    <w:p>
      <w:pPr>
        <w:pStyle w:val="Bibliography"/>
      </w:pPr>
      <w:r>
        <w:t xml:space="preserve">Luimstra, V.M., Schuurmans, J.M., Verschoor, A.M., Hellingwerf, K.J., Huisman, J., and Matthijs, H.C.P. 2018. Blue light reduces photosynthetic efficiency of cyanobacteria through an imbalance between photosystems</w:t>
      </w:r>
      <w:r>
        <w:t xml:space="preserve"> </w:t>
      </w:r>
      <w:r>
        <w:t xml:space="preserve">I</w:t>
      </w:r>
      <w:r>
        <w:t xml:space="preserve"> </w:t>
      </w:r>
      <w:r>
        <w:t xml:space="preserve">and</w:t>
      </w:r>
      <w:r>
        <w:t xml:space="preserve"> </w:t>
      </w:r>
      <w:r>
        <w:t xml:space="preserve">II</w:t>
      </w:r>
      <w:r>
        <w:t xml:space="preserve">. Photosynthesis Research</w:t>
      </w:r>
      <w:r>
        <w:t xml:space="preserve"> </w:t>
      </w:r>
      <w:r>
        <w:rPr>
          <w:bCs/>
          <w:b/>
        </w:rPr>
        <w:t xml:space="preserve">138</w:t>
      </w:r>
      <w:r>
        <w:t xml:space="preserve">(2): 177–189. doi:</w:t>
      </w:r>
      <w:hyperlink r:id="rId139">
        <w:r>
          <w:rPr>
            <w:rStyle w:val="Hyperlink"/>
          </w:rPr>
          <w:t xml:space="preserve">10.1007/s11120-018-0561-5</w:t>
        </w:r>
      </w:hyperlink>
      <w:r>
        <w:t xml:space="preserve">.</w:t>
      </w:r>
    </w:p>
    <w:bookmarkEnd w:id="140"/>
    <w:bookmarkStart w:id="142" w:name="X34a50bd4f90fc9c15adbc5a13cc0f92b6479639"/>
    <w:p>
      <w:pPr>
        <w:pStyle w:val="Bibliography"/>
      </w:pPr>
      <w:r>
        <w:t xml:space="preserve">Moore, L.R., Goericke, R., and Chisholm, S.W. 1995.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w:t>
      </w:r>
      <w:r>
        <w:t xml:space="preserve"> </w:t>
      </w:r>
      <w:r>
        <w:rPr>
          <w:bCs/>
          <w:b/>
        </w:rPr>
        <w:t xml:space="preserve">116</w:t>
      </w:r>
      <w:r>
        <w:t xml:space="preserve">(1/3): 259–275. Inter-Research Science Center. Available from</w:t>
      </w:r>
      <w:r>
        <w:t xml:space="preserve"> </w:t>
      </w:r>
      <w:hyperlink r:id="rId141">
        <w:r>
          <w:rPr>
            <w:rStyle w:val="Hyperlink"/>
          </w:rPr>
          <w:t xml:space="preserve">https://www.jstor.org/stable/44635011</w:t>
        </w:r>
      </w:hyperlink>
      <w:r>
        <w:t xml:space="preserve"> </w:t>
      </w:r>
      <w:r>
        <w:t xml:space="preserve">[accessed 1 July 2024].</w:t>
      </w:r>
    </w:p>
    <w:bookmarkEnd w:id="142"/>
    <w:bookmarkStart w:id="144"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143">
        <w:r>
          <w:rPr>
            <w:rStyle w:val="Hyperlink"/>
          </w:rPr>
          <w:t xml:space="preserve">10.1016/0146-6291(78)90623-9</w:t>
        </w:r>
      </w:hyperlink>
      <w:r>
        <w:t xml:space="preserve">.</w:t>
      </w:r>
    </w:p>
    <w:bookmarkEnd w:id="144"/>
    <w:bookmarkStart w:id="146"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145">
        <w:r>
          <w:rPr>
            <w:rStyle w:val="Hyperlink"/>
          </w:rPr>
          <w:t xml:space="preserve">10.1371/journal.pone.0168991</w:t>
        </w:r>
      </w:hyperlink>
      <w:r>
        <w:t xml:space="preserve">.</w:t>
      </w:r>
    </w:p>
    <w:bookmarkEnd w:id="146"/>
    <w:bookmarkStart w:id="148"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147">
        <w:r>
          <w:rPr>
            <w:rStyle w:val="Hyperlink"/>
          </w:rPr>
          <w:t xml:space="preserve">10.1023/A:1005936823310</w:t>
        </w:r>
      </w:hyperlink>
      <w:r>
        <w:t xml:space="preserve">.</w:t>
      </w:r>
    </w:p>
    <w:bookmarkEnd w:id="148"/>
    <w:bookmarkStart w:id="150"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149">
        <w:r>
          <w:rPr>
            <w:rStyle w:val="Hyperlink"/>
          </w:rPr>
          <w:t xml:space="preserve">10.4319/lom.2012.10.142</w:t>
        </w:r>
      </w:hyperlink>
      <w:r>
        <w:t xml:space="preserve">.</w:t>
      </w:r>
    </w:p>
    <w:bookmarkEnd w:id="150"/>
    <w:bookmarkStart w:id="152" w:name="X1bc2c1e7655344012c104d7e7445ec4c6ca1702"/>
    <w:p>
      <w:pPr>
        <w:pStyle w:val="Bibliography"/>
      </w:pPr>
      <w:r>
        <w:t xml:space="preserve">Partensky, F., Mella-Flores, D., Six, C., Garczarek, L., Czjzek, M., Marie, D., Kotabová, E., Felcmanová, K., and Prášil, O. 2018. Comparison of photosynthetic performances of marine picocyanobacteria with different configurations of the oxygen-evolving complex. Photosynthesis Research</w:t>
      </w:r>
      <w:r>
        <w:t xml:space="preserve"> </w:t>
      </w:r>
      <w:r>
        <w:rPr>
          <w:bCs/>
          <w:b/>
        </w:rPr>
        <w:t xml:space="preserve">138</w:t>
      </w:r>
      <w:r>
        <w:t xml:space="preserve">(1): 57–71. doi:</w:t>
      </w:r>
      <w:hyperlink r:id="rId151">
        <w:r>
          <w:rPr>
            <w:rStyle w:val="Hyperlink"/>
          </w:rPr>
          <w:t xml:space="preserve">10.1007/s11120-018-0539-3</w:t>
        </w:r>
      </w:hyperlink>
      <w:r>
        <w:t xml:space="preserve">.</w:t>
      </w:r>
    </w:p>
    <w:bookmarkEnd w:id="152"/>
    <w:bookmarkStart w:id="153"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153"/>
    <w:bookmarkStart w:id="155" w:name="ref-posit"/>
    <w:p>
      <w:pPr>
        <w:pStyle w:val="Bibliography"/>
      </w:pPr>
      <w:r>
        <w:t xml:space="preserve">Posit team. 2022. RStudio: Integrated development environment for r. Posit Software, PBC, Boston, MA. Available from</w:t>
      </w:r>
      <w:r>
        <w:t xml:space="preserve"> </w:t>
      </w:r>
      <w:hyperlink r:id="rId154">
        <w:r>
          <w:rPr>
            <w:rStyle w:val="Hyperlink"/>
          </w:rPr>
          <w:t xml:space="preserve">http://www.posit.co/</w:t>
        </w:r>
      </w:hyperlink>
      <w:r>
        <w:t xml:space="preserve">.</w:t>
      </w:r>
    </w:p>
    <w:bookmarkEnd w:id="155"/>
    <w:bookmarkStart w:id="157" w:name="ref-rcore"/>
    <w:p>
      <w:pPr>
        <w:pStyle w:val="Bibliography"/>
      </w:pPr>
      <w:r>
        <w:t xml:space="preserve">R Core Team. 2023. R: A language and environment for statistical computing. R Foundation for Statistical Computing, Vienna, Austria. Available from</w:t>
      </w:r>
      <w:r>
        <w:t xml:space="preserve"> </w:t>
      </w:r>
      <w:hyperlink r:id="rId156">
        <w:r>
          <w:rPr>
            <w:rStyle w:val="Hyperlink"/>
          </w:rPr>
          <w:t xml:space="preserve">https://www.R-project.org/</w:t>
        </w:r>
      </w:hyperlink>
      <w:r>
        <w:t xml:space="preserve">.</w:t>
      </w:r>
    </w:p>
    <w:bookmarkEnd w:id="157"/>
    <w:bookmarkStart w:id="159" w:name="ref-scanlanMarinePicocyanobacteria2012"/>
    <w:p>
      <w:pPr>
        <w:pStyle w:val="Bibliography"/>
      </w:pPr>
      <w:r>
        <w:t xml:space="preserve">Scanlan, D.J. 2012. Marine</w:t>
      </w:r>
      <w:r>
        <w:t xml:space="preserve"> </w:t>
      </w:r>
      <w:r>
        <w:t xml:space="preserve">Picocyanobacteria</w:t>
      </w:r>
      <w:r>
        <w:t xml:space="preserve">.</w:t>
      </w:r>
      <w:r>
        <w:t xml:space="preserve"> </w:t>
      </w:r>
      <w:r>
        <w:rPr>
          <w:iCs/>
          <w:i/>
        </w:rPr>
        <w:t xml:space="preserve">In</w:t>
      </w:r>
      <w:r>
        <w:t xml:space="preserve"> </w:t>
      </w:r>
      <w:r>
        <w:t xml:space="preserve">Ecology of</w:t>
      </w:r>
      <w:r>
        <w:t xml:space="preserve"> </w:t>
      </w:r>
      <w:r>
        <w:t xml:space="preserve">Cyanobacteria II</w:t>
      </w:r>
      <w:r>
        <w:t xml:space="preserve">:</w:t>
      </w:r>
      <w:r>
        <w:t xml:space="preserve"> </w:t>
      </w:r>
      <w:r>
        <w:t xml:space="preserve">Their Diversity</w:t>
      </w:r>
      <w:r>
        <w:t xml:space="preserve"> </w:t>
      </w:r>
      <w:r>
        <w:t xml:space="preserve">in</w:t>
      </w:r>
      <w:r>
        <w:t xml:space="preserve"> </w:t>
      </w:r>
      <w:r>
        <w:t xml:space="preserve">Space</w:t>
      </w:r>
      <w:r>
        <w:t xml:space="preserve"> </w:t>
      </w:r>
      <w:r>
        <w:t xml:space="preserve">and</w:t>
      </w:r>
      <w:r>
        <w:t xml:space="preserve"> </w:t>
      </w:r>
      <w:r>
        <w:t xml:space="preserve">Time</w:t>
      </w:r>
      <w:r>
        <w:t xml:space="preserve">.</w:t>
      </w:r>
      <w:r>
        <w:t xml:space="preserve"> </w:t>
      </w:r>
      <w:r>
        <w:rPr>
          <w:iCs/>
          <w:i/>
        </w:rPr>
        <w:t xml:space="preserve">Edited by</w:t>
      </w:r>
      <w:r>
        <w:t xml:space="preserve"> </w:t>
      </w:r>
      <w:r>
        <w:t xml:space="preserve">B.A. Whitton. Springer Netherlands, Dordrecht. pp. 503–533. doi:</w:t>
      </w:r>
      <w:hyperlink r:id="rId158">
        <w:r>
          <w:rPr>
            <w:rStyle w:val="Hyperlink"/>
          </w:rPr>
          <w:t xml:space="preserve">10.1007/978-94-007-3855-3_20</w:t>
        </w:r>
      </w:hyperlink>
      <w:r>
        <w:t xml:space="preserve">.</w:t>
      </w:r>
    </w:p>
    <w:bookmarkEnd w:id="159"/>
    <w:bookmarkStart w:id="161" w:name="ref-sixLightVariabilityIlluminates2007"/>
    <w:p>
      <w:pPr>
        <w:pStyle w:val="Bibliography"/>
      </w:pPr>
      <w:r>
        <w:t xml:space="preserve">Six, C., Finkel, Z.V., Irwin, A.J., and Campbell, D.A. 2007. Light variability illuminates niche-partitioning among marine picocyanobacteria. PLOS ONE</w:t>
      </w:r>
      <w:r>
        <w:t xml:space="preserve"> </w:t>
      </w:r>
      <w:r>
        <w:rPr>
          <w:bCs/>
          <w:b/>
        </w:rPr>
        <w:t xml:space="preserve">2</w:t>
      </w:r>
      <w:r>
        <w:t xml:space="preserve">(12): e1341. Public Library of Science. doi:</w:t>
      </w:r>
      <w:hyperlink r:id="rId160">
        <w:r>
          <w:rPr>
            <w:rStyle w:val="Hyperlink"/>
          </w:rPr>
          <w:t xml:space="preserve">10.1371/journal.pone.0001341</w:t>
        </w:r>
      </w:hyperlink>
      <w:r>
        <w:t xml:space="preserve">.</w:t>
      </w:r>
    </w:p>
    <w:bookmarkEnd w:id="161"/>
    <w:bookmarkStart w:id="163" w:name="Xb08e6c3e9b838f57efffe54573ae3f42a71b21a"/>
    <w:p>
      <w:pPr>
        <w:pStyle w:val="Bibliography"/>
      </w:pPr>
      <w:r>
        <w:t xml:space="preserve">Śliwińska-Wilczewska, S., Cieszyńska, A., Maculewicz, J., and Latała, 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62">
        <w:r>
          <w:rPr>
            <w:rStyle w:val="Hyperlink"/>
          </w:rPr>
          <w:t xml:space="preserve">10.5194/bg-15-6257-2018</w:t>
        </w:r>
      </w:hyperlink>
      <w:r>
        <w:t xml:space="preserve">.</w:t>
      </w:r>
    </w:p>
    <w:bookmarkEnd w:id="163"/>
    <w:bookmarkStart w:id="165" w:name="X6591e9d1dee9f0b2f846214637635025dece832"/>
    <w:p>
      <w:pPr>
        <w:pStyle w:val="Bibliography"/>
      </w:pPr>
      <w:r>
        <w:t xml:space="preserve">Śliwińska-Wilczewska, S., Maculewicz, J., Barreiro Felpeto, A., and Latała, A. 2018b. Allelopathic and bloom-forming picocyanobacteria in a changing world. Toxins</w:t>
      </w:r>
      <w:r>
        <w:t xml:space="preserve"> </w:t>
      </w:r>
      <w:r>
        <w:rPr>
          <w:bCs/>
          <w:b/>
        </w:rPr>
        <w:t xml:space="preserve">10</w:t>
      </w:r>
      <w:r>
        <w:t xml:space="preserve">(1): 48. Multidisciplinary Digital Publishing Institute. doi:</w:t>
      </w:r>
      <w:hyperlink r:id="rId164">
        <w:r>
          <w:rPr>
            <w:rStyle w:val="Hyperlink"/>
          </w:rPr>
          <w:t xml:space="preserve">10.3390/toxins10010048</w:t>
        </w:r>
      </w:hyperlink>
      <w:r>
        <w:t xml:space="preserve">.</w:t>
      </w:r>
    </w:p>
    <w:bookmarkEnd w:id="165"/>
    <w:bookmarkStart w:id="167" w:name="ref-stompAdaptiveDivergencePigment2004a"/>
    <w:p>
      <w:pPr>
        <w:pStyle w:val="Bibliography"/>
      </w:pPr>
      <w:r>
        <w:t xml:space="preserve">Stomp, M., Huisman, J., de Jongh, F., Veraart, A.J., Gerla, D., Rijkeboer, M., Ibelings, B.W., Wollenzien, U.I.A., and Stal, L.J. 2004. Adaptive divergence in pigment composition promotes phytoplankton biodiversity. Nature</w:t>
      </w:r>
      <w:r>
        <w:t xml:space="preserve"> </w:t>
      </w:r>
      <w:r>
        <w:rPr>
          <w:bCs/>
          <w:b/>
        </w:rPr>
        <w:t xml:space="preserve">432</w:t>
      </w:r>
      <w:r>
        <w:t xml:space="preserve">(7013): 104–107. Nature Publishing Group. doi:</w:t>
      </w:r>
      <w:hyperlink r:id="rId166">
        <w:r>
          <w:rPr>
            <w:rStyle w:val="Hyperlink"/>
          </w:rPr>
          <w:t xml:space="preserve">10.1038/nature03044</w:t>
        </w:r>
      </w:hyperlink>
      <w:r>
        <w:t xml:space="preserve">.</w:t>
      </w:r>
    </w:p>
    <w:bookmarkEnd w:id="167"/>
    <w:bookmarkStart w:id="169" w:name="ref-stompColourfulCoexistenceRed2007a"/>
    <w:p>
      <w:pPr>
        <w:pStyle w:val="Bibliography"/>
      </w:pPr>
      <w:r>
        <w:t xml:space="preserve">Stomp, M., Huisman, J., Vörös, L., Pick, F.R., Laamanen, M., Haverkamp, T., and Stal, L.J. 2007. Colourful coexistence of red and green picocyanobacteria in lakes and seas. Ecology Letters</w:t>
      </w:r>
      <w:r>
        <w:t xml:space="preserve"> </w:t>
      </w:r>
      <w:r>
        <w:rPr>
          <w:bCs/>
          <w:b/>
        </w:rPr>
        <w:t xml:space="preserve">10</w:t>
      </w:r>
      <w:r>
        <w:t xml:space="preserve">(4): 290–298. doi:</w:t>
      </w:r>
      <w:hyperlink r:id="rId168">
        <w:r>
          <w:rPr>
            <w:rStyle w:val="Hyperlink"/>
          </w:rPr>
          <w:t xml:space="preserve">10.1111/j.1461-0248.2007.01026.x</w:t>
        </w:r>
      </w:hyperlink>
      <w:r>
        <w:t xml:space="preserve">.</w:t>
      </w:r>
    </w:p>
    <w:bookmarkEnd w:id="169"/>
    <w:bookmarkStart w:id="171"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0">
        <w:r>
          <w:rPr>
            <w:rStyle w:val="Hyperlink"/>
          </w:rPr>
          <w:t xml:space="preserve">DOI: http://dx.doi.org/10.25607/OBP-1791</w:t>
        </w:r>
      </w:hyperlink>
      <w:r>
        <w:t xml:space="preserve">.</w:t>
      </w:r>
    </w:p>
    <w:bookmarkEnd w:id="171"/>
    <w:bookmarkStart w:id="173"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72">
        <w:r>
          <w:rPr>
            <w:rStyle w:val="Hyperlink"/>
          </w:rPr>
          <w:t xml:space="preserve">10.25607/OBP-1084</w:t>
        </w:r>
      </w:hyperlink>
      <w:r>
        <w:t xml:space="preserve">.</w:t>
      </w:r>
    </w:p>
    <w:bookmarkEnd w:id="173"/>
    <w:bookmarkStart w:id="175"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74">
        <w:r>
          <w:rPr>
            <w:rStyle w:val="Hyperlink"/>
          </w:rPr>
          <w:t xml:space="preserve">10.1073/pnas.1205009109</w:t>
        </w:r>
      </w:hyperlink>
      <w:r>
        <w:t xml:space="preserve">.</w:t>
      </w:r>
    </w:p>
    <w:bookmarkEnd w:id="175"/>
    <w:bookmarkStart w:id="177"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76">
        <w:r>
          <w:rPr>
            <w:rStyle w:val="Hyperlink"/>
          </w:rPr>
          <w:t xml:space="preserve">10.1007/978-3-319-24277-4_9</w:t>
        </w:r>
      </w:hyperlink>
      <w:r>
        <w:t xml:space="preserve">.</w:t>
      </w:r>
    </w:p>
    <w:bookmarkEnd w:id="177"/>
    <w:bookmarkStart w:id="179" w:name="ref-wilsonSolubleCarotenoidProtein2006"/>
    <w:p>
      <w:pPr>
        <w:pStyle w:val="Bibliography"/>
      </w:pPr>
      <w:r>
        <w:t xml:space="preserve">Wilson, A., Ajlani, G., Verbavatz, J.-M., Vass, I., Kerfeld, C.A., and Kirilovsky, D. 2006. A</w:t>
      </w:r>
      <w:r>
        <w:t xml:space="preserve"> </w:t>
      </w:r>
      <w:r>
        <w:t xml:space="preserve">Soluble Carotenoid Protein Involved</w:t>
      </w:r>
      <w:r>
        <w:t xml:space="preserve"> </w:t>
      </w:r>
      <w:r>
        <w:t xml:space="preserve">in</w:t>
      </w:r>
      <w:r>
        <w:t xml:space="preserve"> </w:t>
      </w:r>
      <w:r>
        <w:t xml:space="preserve">Phycobilisome-Related Energy Dissipation</w:t>
      </w:r>
      <w:r>
        <w:t xml:space="preserve"> </w:t>
      </w:r>
      <w:r>
        <w:t xml:space="preserve">in</w:t>
      </w:r>
      <w:r>
        <w:t xml:space="preserve"> </w:t>
      </w:r>
      <w:r>
        <w:t xml:space="preserve">Cyanobacteria</w:t>
      </w:r>
      <w:r>
        <w:t xml:space="preserve">. The Plant Cell</w:t>
      </w:r>
      <w:r>
        <w:t xml:space="preserve"> </w:t>
      </w:r>
      <w:r>
        <w:rPr>
          <w:bCs/>
          <w:b/>
        </w:rPr>
        <w:t xml:space="preserve">18</w:t>
      </w:r>
      <w:r>
        <w:t xml:space="preserve">(4): 992–1007. doi:</w:t>
      </w:r>
      <w:hyperlink r:id="rId178">
        <w:r>
          <w:rPr>
            <w:rStyle w:val="Hyperlink"/>
          </w:rPr>
          <w:t xml:space="preserve">10.1105/tpc.105.040121</w:t>
        </w:r>
      </w:hyperlink>
      <w:r>
        <w:t xml:space="preserve">.</w:t>
      </w:r>
    </w:p>
    <w:bookmarkEnd w:id="179"/>
    <w:bookmarkStart w:id="181"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80">
        <w:r>
          <w:rPr>
            <w:rStyle w:val="Hyperlink"/>
          </w:rPr>
          <w:t xml:space="preserve">10.1002/cyto.a.24508</w:t>
        </w:r>
      </w:hyperlink>
      <w:r>
        <w:t xml:space="preserve">.</w:t>
      </w:r>
    </w:p>
    <w:bookmarkEnd w:id="181"/>
    <w:bookmarkStart w:id="183"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82">
        <w:r>
          <w:rPr>
            <w:rStyle w:val="Hyperlink"/>
          </w:rPr>
          <w:t xml:space="preserve">10.1002/lno.12367</w:t>
        </w:r>
      </w:hyperlink>
      <w:r>
        <w:t xml:space="preserve">.</w:t>
      </w:r>
    </w:p>
    <w:bookmarkEnd w:id="183"/>
    <w:bookmarkStart w:id="185"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84">
        <w:r>
          <w:rPr>
            <w:rStyle w:val="Hyperlink"/>
          </w:rPr>
          <w:t xml:space="preserve">10.1016/j.bbabio.2017.03.003</w:t>
        </w:r>
      </w:hyperlink>
      <w:r>
        <w:t xml:space="preserve">.</w:t>
      </w:r>
    </w:p>
    <w:bookmarkEnd w:id="185"/>
    <w:bookmarkStart w:id="187"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86">
        <w:r>
          <w:rPr>
            <w:rStyle w:val="Hyperlink"/>
          </w:rPr>
          <w:t xml:space="preserve">10.3389/fmars.2018.00281</w:t>
        </w:r>
      </w:hyperlink>
      <w:r>
        <w:t xml:space="preserve">.</w:t>
      </w:r>
    </w:p>
    <w:bookmarkEnd w:id="187"/>
    <w:bookmarkEnd w:id="188"/>
    <w:bookmarkEnd w:id="189"/>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0" Target="https://doi.org/10.1002/cyto.a.24508" TargetMode="External" /><Relationship Type="http://schemas.openxmlformats.org/officeDocument/2006/relationships/hyperlink" Id="rId182"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6"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4"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78"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6"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70" Target="DOI: http://dx.doi.org/10.25607/OBP-1791" TargetMode="External" /><Relationship Type="http://schemas.openxmlformats.org/officeDocument/2006/relationships/hyperlink" Id="rId15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8" Target="https://docs.google.com/spreadsheets/d/1ZXpwR7Gfto-uRzVdXzMpQF4frbrvMLH_IyLqonFZRSw/edit#gid=0" TargetMode="External" /><Relationship Type="http://schemas.openxmlformats.org/officeDocument/2006/relationships/hyperlink" Id="rId180" Target="https://doi.org/10.1002/cyto.a.24508" TargetMode="External" /><Relationship Type="http://schemas.openxmlformats.org/officeDocument/2006/relationships/hyperlink" Id="rId182" Target="https://doi.org/10.1002/lno.12367" TargetMode="External" /><Relationship Type="http://schemas.openxmlformats.org/officeDocument/2006/relationships/hyperlink" Id="rId113" Target="https://doi.org/10.1007/978-1-4615-8714-9_3" TargetMode="External" /><Relationship Type="http://schemas.openxmlformats.org/officeDocument/2006/relationships/hyperlink" Id="rId176" Target="https://doi.org/10.1007/978-3-319-24277-4_9" TargetMode="External" /><Relationship Type="http://schemas.openxmlformats.org/officeDocument/2006/relationships/hyperlink" Id="rId158" Target="https://doi.org/10.1007/978-94-007-3855-3_20" TargetMode="External" /><Relationship Type="http://schemas.openxmlformats.org/officeDocument/2006/relationships/hyperlink" Id="rId128" Target="https://doi.org/10.1007/s11120-014-0031-7" TargetMode="External" /><Relationship Type="http://schemas.openxmlformats.org/officeDocument/2006/relationships/hyperlink" Id="rId151" Target="https://doi.org/10.1007/s11120-018-0539-3" TargetMode="External" /><Relationship Type="http://schemas.openxmlformats.org/officeDocument/2006/relationships/hyperlink" Id="rId139" Target="https://doi.org/10.1007/s11120-018-0561-5" TargetMode="External" /><Relationship Type="http://schemas.openxmlformats.org/officeDocument/2006/relationships/hyperlink" Id="rId143" Target="https://doi.org/10.1016/0146-6291(78)90623-9" TargetMode="External" /><Relationship Type="http://schemas.openxmlformats.org/officeDocument/2006/relationships/hyperlink" Id="rId74" Target="https://doi.org/10.1016/1011-1344(92)87003-R" TargetMode="External" /><Relationship Type="http://schemas.openxmlformats.org/officeDocument/2006/relationships/hyperlink" Id="rId130" Target="https://doi.org/10.1016/S0005-2728(98)00135-2" TargetMode="External" /><Relationship Type="http://schemas.openxmlformats.org/officeDocument/2006/relationships/hyperlink" Id="rId115" Target="https://doi.org/10.1016/j.bbabio.2004.09.001" TargetMode="External" /><Relationship Type="http://schemas.openxmlformats.org/officeDocument/2006/relationships/hyperlink" Id="rId107" Target="https://doi.org/10.1016/j.bbabio.2011.08.009" TargetMode="External" /><Relationship Type="http://schemas.openxmlformats.org/officeDocument/2006/relationships/hyperlink" Id="rId184" Target="https://doi.org/10.1016/j.bbabio.2017.03.003" TargetMode="External" /><Relationship Type="http://schemas.openxmlformats.org/officeDocument/2006/relationships/hyperlink" Id="rId124" Target="https://doi.org/10.1016/j.jphotobiol.2005.10.002" TargetMode="External" /><Relationship Type="http://schemas.openxmlformats.org/officeDocument/2006/relationships/hyperlink" Id="rId122" Target="https://doi.org/10.1021/acs.est.8b03488" TargetMode="External" /><Relationship Type="http://schemas.openxmlformats.org/officeDocument/2006/relationships/hyperlink" Id="rId147" Target="https://doi.org/10.1023/A:1005936823310" TargetMode="External" /><Relationship Type="http://schemas.openxmlformats.org/officeDocument/2006/relationships/hyperlink" Id="rId91" Target="https://doi.org/10.1034/j.1399-3054.1999.105420.x" TargetMode="External" /><Relationship Type="http://schemas.openxmlformats.org/officeDocument/2006/relationships/hyperlink" Id="rId120" Target="https://doi.org/10.1038/ismej.2008.118" TargetMode="External" /><Relationship Type="http://schemas.openxmlformats.org/officeDocument/2006/relationships/hyperlink" Id="rId132" Target="https://doi.org/10.1038/ismej.2014.35" TargetMode="External" /><Relationship Type="http://schemas.openxmlformats.org/officeDocument/2006/relationships/hyperlink" Id="rId76" Target="https://doi.org/10.1038/ismej.2015.36" TargetMode="External" /><Relationship Type="http://schemas.openxmlformats.org/officeDocument/2006/relationships/hyperlink" Id="rId166" Target="https://doi.org/10.1038/nature03044" TargetMode="External" /><Relationship Type="http://schemas.openxmlformats.org/officeDocument/2006/relationships/hyperlink" Id="rId174" Target="https://doi.org/10.1073/pnas.1205009109" TargetMode="External" /><Relationship Type="http://schemas.openxmlformats.org/officeDocument/2006/relationships/hyperlink" Id="rId105" Target="https://doi.org/10.1073/pnas.1307701110" TargetMode="External" /><Relationship Type="http://schemas.openxmlformats.org/officeDocument/2006/relationships/hyperlink" Id="rId109" Target="https://doi.org/10.1073/pnas.1717069115" TargetMode="External" /><Relationship Type="http://schemas.openxmlformats.org/officeDocument/2006/relationships/hyperlink" Id="rId78" Target="https://doi.org/10.1083/jcb.58.2.419" TargetMode="External" /><Relationship Type="http://schemas.openxmlformats.org/officeDocument/2006/relationships/hyperlink" Id="rId89" Target="https://doi.org/10.1099/13500872-142-5-1255" TargetMode="External" /><Relationship Type="http://schemas.openxmlformats.org/officeDocument/2006/relationships/hyperlink" Id="rId93" Target="https://doi.org/10.1104/pp.111.4.1293" TargetMode="External" /><Relationship Type="http://schemas.openxmlformats.org/officeDocument/2006/relationships/hyperlink" Id="rId178" Target="https://doi.org/10.1105/tpc.105.040121" TargetMode="External" /><Relationship Type="http://schemas.openxmlformats.org/officeDocument/2006/relationships/hyperlink" Id="rId70" Target="https://doi.org/10.1111/1462-2920.16384" TargetMode="External" /><Relationship Type="http://schemas.openxmlformats.org/officeDocument/2006/relationships/hyperlink" Id="rId168" Target="https://doi.org/10.1111/j.1461-0248.2007.01026.x" TargetMode="External" /><Relationship Type="http://schemas.openxmlformats.org/officeDocument/2006/relationships/hyperlink" Id="rId111" Target="https://doi.org/10.1111/j.1529-8817.2010.00852.x" TargetMode="External" /><Relationship Type="http://schemas.openxmlformats.org/officeDocument/2006/relationships/hyperlink" Id="rId100" Target="https://doi.org/10.1126/science.1095964" TargetMode="External" /><Relationship Type="http://schemas.openxmlformats.org/officeDocument/2006/relationships/hyperlink" Id="rId85" Target="https://doi.org/10.1126/science.aam7240" TargetMode="External" /><Relationship Type="http://schemas.openxmlformats.org/officeDocument/2006/relationships/hyperlink" Id="rId95" Target="https://doi.org/10.1128/msystems.00656-22" TargetMode="External" /><Relationship Type="http://schemas.openxmlformats.org/officeDocument/2006/relationships/hyperlink" Id="rId97" Target="https://doi.org/10.1134/S1063074020020042" TargetMode="External" /><Relationship Type="http://schemas.openxmlformats.org/officeDocument/2006/relationships/hyperlink" Id="rId126" Target="https://doi.org/10.1146/annurev.marine.010908.163855" TargetMode="External" /><Relationship Type="http://schemas.openxmlformats.org/officeDocument/2006/relationships/hyperlink" Id="rId160" Target="https://doi.org/10.1371/journal.pone.0001341" TargetMode="External" /><Relationship Type="http://schemas.openxmlformats.org/officeDocument/2006/relationships/hyperlink" Id="rId145" Target="https://doi.org/10.1371/journal.pone.0168991" TargetMode="External" /><Relationship Type="http://schemas.openxmlformats.org/officeDocument/2006/relationships/hyperlink" Id="rId172" Target="https://doi.org/10.25607/OBP-1084" TargetMode="External" /><Relationship Type="http://schemas.openxmlformats.org/officeDocument/2006/relationships/hyperlink" Id="rId137" Target="https://doi.org/10.3354/ame01392" TargetMode="External" /><Relationship Type="http://schemas.openxmlformats.org/officeDocument/2006/relationships/hyperlink" Id="rId186" Target="https://doi.org/10.3389/fmars.2018.00281" TargetMode="External" /><Relationship Type="http://schemas.openxmlformats.org/officeDocument/2006/relationships/hyperlink" Id="rId83" Target="https://doi.org/10.3389/fmars.2019.00319" TargetMode="External" /><Relationship Type="http://schemas.openxmlformats.org/officeDocument/2006/relationships/hyperlink" Id="rId80" Target="https://doi.org/10.3389/fmars.2020.00281" TargetMode="External" /><Relationship Type="http://schemas.openxmlformats.org/officeDocument/2006/relationships/hyperlink" Id="rId72" Target="https://doi.org/10.3390/life5010716" TargetMode="External" /><Relationship Type="http://schemas.openxmlformats.org/officeDocument/2006/relationships/hyperlink" Id="rId87" Target="https://doi.org/10.3390/microorganisms10030546" TargetMode="External" /><Relationship Type="http://schemas.openxmlformats.org/officeDocument/2006/relationships/hyperlink" Id="rId164" Target="https://doi.org/10.3390/toxins10010048" TargetMode="External" /><Relationship Type="http://schemas.openxmlformats.org/officeDocument/2006/relationships/hyperlink" Id="rId103" Target="https://doi.org/10.4319/lo.2001.46.1.0086" TargetMode="External" /><Relationship Type="http://schemas.openxmlformats.org/officeDocument/2006/relationships/hyperlink" Id="rId135" Target="https://doi.org/10.4319/lo.2006.51.1.0021" TargetMode="External" /><Relationship Type="http://schemas.openxmlformats.org/officeDocument/2006/relationships/hyperlink" Id="rId149" Target="https://doi.org/10.4319/lom.2012.10.142" TargetMode="External" /><Relationship Type="http://schemas.openxmlformats.org/officeDocument/2006/relationships/hyperlink" Id="rId162"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3" Target="https://orcid.org/0000-0001-8996-5463" TargetMode="External" /><Relationship Type="http://schemas.openxmlformats.org/officeDocument/2006/relationships/hyperlink" Id="rId61" Target="https://orcid.org/0000-0002-3147-6605" TargetMode="External" /><Relationship Type="http://schemas.openxmlformats.org/officeDocument/2006/relationships/hyperlink" Id="rId62" Target="https://orcid.org/0009-0009-9499-6657" TargetMode="External" /><Relationship Type="http://schemas.openxmlformats.org/officeDocument/2006/relationships/hyperlink" Id="rId156" Target="https://www.R-project.org/" TargetMode="External" /><Relationship Type="http://schemas.openxmlformats.org/officeDocument/2006/relationships/hyperlink" Id="rId141" Target="https://www.jstor.org/stable/4463501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2024-07-04T02:13:48Z</dcterms:created>
  <dcterms:modified xsi:type="dcterms:W3CDTF">2024-07-04T02:13:48Z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